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A05" w:rsidRPr="0051064D" w:rsidRDefault="00430F72" w:rsidP="000311A9">
      <w:pPr>
        <w:jc w:val="center"/>
        <w:rPr>
          <w:rFonts w:cs="Arial"/>
          <w:b/>
          <w:color w:val="0000FF"/>
          <w:sz w:val="72"/>
          <w:szCs w:val="72"/>
        </w:rPr>
      </w:pPr>
      <w:r>
        <w:rPr>
          <w:rFonts w:cs="Arial"/>
          <w:b/>
          <w:color w:val="0000F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pt;height:41pt">
            <v:imagedata r:id="rId8" o:title="OHAlogo"/>
          </v:shape>
        </w:pict>
      </w:r>
    </w:p>
    <w:p w:rsidR="004C4A05" w:rsidRDefault="004C4A05" w:rsidP="000311A9">
      <w:pPr>
        <w:jc w:val="center"/>
      </w:pPr>
    </w:p>
    <w:p w:rsidR="004C4A05" w:rsidRDefault="004C4A05" w:rsidP="000311A9">
      <w:pPr>
        <w:jc w:val="center"/>
      </w:pPr>
    </w:p>
    <w:p w:rsidR="004C4A05" w:rsidRDefault="00F3746C" w:rsidP="000311A9">
      <w:pPr>
        <w:jc w:val="center"/>
        <w:rPr>
          <w:b/>
          <w:sz w:val="40"/>
          <w:szCs w:val="40"/>
        </w:rPr>
      </w:pPr>
      <w:r>
        <w:rPr>
          <w:b/>
          <w:sz w:val="40"/>
          <w:szCs w:val="40"/>
        </w:rPr>
        <w:t xml:space="preserve">APM </w:t>
      </w:r>
      <w:r w:rsidR="004F645A">
        <w:rPr>
          <w:b/>
          <w:sz w:val="40"/>
          <w:szCs w:val="40"/>
        </w:rPr>
        <w:t>Touches Report</w:t>
      </w:r>
    </w:p>
    <w:p w:rsidR="004F645A" w:rsidRPr="004F645A" w:rsidRDefault="004F645A" w:rsidP="000311A9">
      <w:pPr>
        <w:jc w:val="center"/>
        <w:rPr>
          <w:i/>
          <w:sz w:val="28"/>
          <w:szCs w:val="28"/>
        </w:rPr>
      </w:pPr>
      <w:r w:rsidRPr="004F645A">
        <w:rPr>
          <w:i/>
          <w:sz w:val="28"/>
          <w:szCs w:val="28"/>
        </w:rPr>
        <w:t>Engagement Touches</w:t>
      </w:r>
    </w:p>
    <w:p w:rsidR="00711B3F" w:rsidRDefault="00430F72" w:rsidP="000311A9">
      <w:pPr>
        <w:spacing w:before="120" w:after="120"/>
        <w:jc w:val="center"/>
      </w:pPr>
      <w:r>
        <w:pict>
          <v:shape id="_x0000_i1026" type="#_x0000_t75" style="width:6in;height:7.2pt" o:hrpct="0" o:hralign="center" o:hr="t">
            <v:imagedata r:id="rId9" o:title="BD10290_"/>
          </v:shape>
        </w:pict>
      </w:r>
    </w:p>
    <w:p w:rsidR="00F3746C" w:rsidRPr="004F645A" w:rsidRDefault="00F3746C" w:rsidP="00F3746C">
      <w:pPr>
        <w:rPr>
          <w:rFonts w:cs="Arial"/>
          <w:i/>
          <w:sz w:val="24"/>
          <w:szCs w:val="24"/>
        </w:rPr>
      </w:pPr>
      <w:r w:rsidRPr="00F3746C">
        <w:rPr>
          <w:rFonts w:cs="Arial"/>
          <w:sz w:val="24"/>
          <w:szCs w:val="24"/>
        </w:rPr>
        <w:t>Th</w:t>
      </w:r>
      <w:r w:rsidR="004F645A">
        <w:rPr>
          <w:rFonts w:cs="Arial"/>
          <w:sz w:val="24"/>
          <w:szCs w:val="24"/>
        </w:rPr>
        <w:t>e Oregon Health Authority (OHA), along with the Oregon Primary Care Association</w:t>
      </w:r>
      <w:r w:rsidR="00BE07B0">
        <w:rPr>
          <w:rFonts w:cs="Arial"/>
          <w:sz w:val="24"/>
          <w:szCs w:val="24"/>
        </w:rPr>
        <w:t xml:space="preserve"> (OPCA), and the participating p</w:t>
      </w:r>
      <w:r w:rsidR="004F645A">
        <w:rPr>
          <w:rFonts w:cs="Arial"/>
          <w:sz w:val="24"/>
          <w:szCs w:val="24"/>
        </w:rPr>
        <w:t xml:space="preserve">hase I APM health centers have come to final agreement on which APM patient engagement measures </w:t>
      </w:r>
      <w:r w:rsidR="00BE07B0">
        <w:rPr>
          <w:rFonts w:cs="Arial"/>
          <w:sz w:val="24"/>
          <w:szCs w:val="24"/>
        </w:rPr>
        <w:t>(</w:t>
      </w:r>
      <w:r w:rsidR="004F645A">
        <w:rPr>
          <w:rFonts w:cs="Arial"/>
          <w:sz w:val="24"/>
          <w:szCs w:val="24"/>
        </w:rPr>
        <w:t xml:space="preserve">or </w:t>
      </w:r>
      <w:r w:rsidR="004F645A">
        <w:rPr>
          <w:rFonts w:cs="Arial"/>
          <w:i/>
          <w:sz w:val="24"/>
          <w:szCs w:val="24"/>
        </w:rPr>
        <w:t>touches</w:t>
      </w:r>
      <w:r w:rsidR="00BE07B0">
        <w:rPr>
          <w:rFonts w:cs="Arial"/>
          <w:i/>
          <w:sz w:val="24"/>
          <w:szCs w:val="24"/>
        </w:rPr>
        <w:t>)</w:t>
      </w:r>
      <w:r w:rsidR="004F645A">
        <w:rPr>
          <w:rFonts w:cs="Arial"/>
          <w:sz w:val="24"/>
          <w:szCs w:val="24"/>
        </w:rPr>
        <w:t xml:space="preserve"> will be categorized as an </w:t>
      </w:r>
      <w:r w:rsidR="004F645A">
        <w:rPr>
          <w:rFonts w:cs="Arial"/>
          <w:i/>
          <w:sz w:val="24"/>
          <w:szCs w:val="24"/>
        </w:rPr>
        <w:t>Engagement Touch (ET).</w:t>
      </w:r>
    </w:p>
    <w:p w:rsidR="00F3746C" w:rsidRDefault="00F3746C" w:rsidP="00F3746C">
      <w:pPr>
        <w:rPr>
          <w:rFonts w:cs="Arial"/>
          <w:sz w:val="24"/>
          <w:szCs w:val="24"/>
        </w:rPr>
      </w:pPr>
    </w:p>
    <w:p w:rsidR="00F3746C" w:rsidRPr="00F3746C" w:rsidRDefault="004F645A" w:rsidP="00F3746C">
      <w:pPr>
        <w:rPr>
          <w:rFonts w:cs="Arial"/>
          <w:sz w:val="24"/>
          <w:szCs w:val="24"/>
        </w:rPr>
      </w:pPr>
      <w:r>
        <w:rPr>
          <w:rFonts w:cs="Arial"/>
          <w:sz w:val="24"/>
          <w:szCs w:val="24"/>
        </w:rPr>
        <w:t>An Engagement Touch is a</w:t>
      </w:r>
      <w:r w:rsidR="00BE07B0">
        <w:rPr>
          <w:rFonts w:cs="Arial"/>
          <w:sz w:val="24"/>
          <w:szCs w:val="24"/>
        </w:rPr>
        <w:t xml:space="preserve"> specific</w:t>
      </w:r>
      <w:r>
        <w:rPr>
          <w:rFonts w:cs="Arial"/>
          <w:sz w:val="24"/>
          <w:szCs w:val="24"/>
        </w:rPr>
        <w:t xml:space="preserve"> direct interaction between the health center staff and the patient, the patient’s family or authorized representative(s), or other health care providers who have interacted or have a need to interact with the patient</w:t>
      </w:r>
      <w:r w:rsidR="006E68E0">
        <w:rPr>
          <w:rFonts w:cs="Arial"/>
          <w:sz w:val="24"/>
          <w:szCs w:val="24"/>
        </w:rPr>
        <w:t xml:space="preserve"> (through in-person, digital, group visits, or telephonic means)</w:t>
      </w:r>
      <w:r>
        <w:rPr>
          <w:rFonts w:cs="Arial"/>
          <w:sz w:val="24"/>
          <w:szCs w:val="24"/>
        </w:rPr>
        <w:t xml:space="preserve">. ETs have been separated from the greater list of touches so that the OHA can better understand what types of innovative alternative services are being delivered in the emerging Patient-Centered Primary Care Home model. </w:t>
      </w:r>
      <w:r w:rsidR="005969B7">
        <w:rPr>
          <w:rFonts w:cs="Arial"/>
          <w:sz w:val="24"/>
          <w:szCs w:val="24"/>
        </w:rPr>
        <w:t>P</w:t>
      </w:r>
      <w:r w:rsidR="00BE07B0">
        <w:rPr>
          <w:rFonts w:cs="Arial"/>
          <w:sz w:val="24"/>
          <w:szCs w:val="24"/>
        </w:rPr>
        <w:t xml:space="preserve">atient </w:t>
      </w:r>
      <w:r w:rsidR="006E68E0">
        <w:rPr>
          <w:rFonts w:cs="Arial"/>
          <w:sz w:val="24"/>
          <w:szCs w:val="24"/>
        </w:rPr>
        <w:t xml:space="preserve">access </w:t>
      </w:r>
      <w:r w:rsidR="00BE07B0">
        <w:rPr>
          <w:rFonts w:cs="Arial"/>
          <w:sz w:val="24"/>
          <w:szCs w:val="24"/>
        </w:rPr>
        <w:t xml:space="preserve">to health care </w:t>
      </w:r>
      <w:r w:rsidR="006E68E0">
        <w:rPr>
          <w:rFonts w:cs="Arial"/>
          <w:sz w:val="24"/>
          <w:szCs w:val="24"/>
        </w:rPr>
        <w:t>is no longer defined only by the traditional face-to-face office visit.</w:t>
      </w:r>
    </w:p>
    <w:p w:rsidR="00F3746C" w:rsidRDefault="00F3746C" w:rsidP="00F3746C">
      <w:pPr>
        <w:rPr>
          <w:rFonts w:cs="Arial"/>
          <w:sz w:val="24"/>
          <w:szCs w:val="24"/>
        </w:rPr>
      </w:pPr>
    </w:p>
    <w:p w:rsidR="00F3746C" w:rsidRPr="00557658" w:rsidRDefault="006E68E0" w:rsidP="00F3746C">
      <w:pPr>
        <w:rPr>
          <w:rFonts w:cs="Arial"/>
          <w:sz w:val="28"/>
          <w:szCs w:val="24"/>
          <w:u w:val="single"/>
        </w:rPr>
      </w:pPr>
      <w:r>
        <w:rPr>
          <w:rFonts w:cs="Arial"/>
          <w:sz w:val="28"/>
          <w:szCs w:val="24"/>
          <w:u w:val="single"/>
        </w:rPr>
        <w:t>The Engagement Touches</w:t>
      </w:r>
    </w:p>
    <w:p w:rsidR="00F3746C" w:rsidRDefault="00F3746C" w:rsidP="00F3746C">
      <w:pPr>
        <w:rPr>
          <w:rFonts w:cs="Arial"/>
          <w:b/>
          <w:sz w:val="24"/>
          <w:szCs w:val="24"/>
          <w:u w:val="single"/>
        </w:rPr>
      </w:pPr>
    </w:p>
    <w:p w:rsidR="00557658" w:rsidRDefault="00557658" w:rsidP="00557658">
      <w:pPr>
        <w:rPr>
          <w:rFonts w:cs="Arial"/>
          <w:sz w:val="24"/>
          <w:szCs w:val="24"/>
        </w:rPr>
      </w:pPr>
    </w:p>
    <w:tbl>
      <w:tblPr>
        <w:tblW w:w="10541" w:type="dxa"/>
        <w:tblInd w:w="-432" w:type="dxa"/>
        <w:tblLook w:val="04A0" w:firstRow="1" w:lastRow="0" w:firstColumn="1" w:lastColumn="0" w:noHBand="0" w:noVBand="1"/>
      </w:tblPr>
      <w:tblGrid>
        <w:gridCol w:w="2070"/>
        <w:gridCol w:w="4760"/>
        <w:gridCol w:w="3711"/>
      </w:tblGrid>
      <w:tr w:rsidR="00557658" w:rsidRPr="00557658" w:rsidTr="00430F72">
        <w:trPr>
          <w:trHeight w:val="423"/>
        </w:trPr>
        <w:tc>
          <w:tcPr>
            <w:tcW w:w="207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57658" w:rsidRPr="0024684E" w:rsidRDefault="006E68E0" w:rsidP="00557658">
            <w:pPr>
              <w:rPr>
                <w:rFonts w:ascii="Calibri" w:hAnsi="Calibri" w:cs="Calibri"/>
                <w:b/>
                <w:color w:val="000000"/>
                <w:sz w:val="28"/>
                <w:szCs w:val="28"/>
              </w:rPr>
            </w:pPr>
            <w:bookmarkStart w:id="0" w:name="_GoBack"/>
            <w:bookmarkEnd w:id="0"/>
            <w:r w:rsidRPr="0024684E">
              <w:rPr>
                <w:rFonts w:ascii="Calibri" w:hAnsi="Calibri" w:cs="Calibri"/>
                <w:b/>
                <w:color w:val="000000"/>
                <w:sz w:val="28"/>
                <w:szCs w:val="28"/>
              </w:rPr>
              <w:t>Engagement Touch</w:t>
            </w:r>
          </w:p>
        </w:tc>
        <w:tc>
          <w:tcPr>
            <w:tcW w:w="4760" w:type="dxa"/>
            <w:tcBorders>
              <w:top w:val="single" w:sz="8" w:space="0" w:color="auto"/>
              <w:left w:val="nil"/>
              <w:bottom w:val="single" w:sz="8" w:space="0" w:color="auto"/>
              <w:right w:val="single" w:sz="4" w:space="0" w:color="auto"/>
            </w:tcBorders>
            <w:shd w:val="clear" w:color="auto" w:fill="auto"/>
            <w:noWrap/>
            <w:vAlign w:val="bottom"/>
            <w:hideMark/>
          </w:tcPr>
          <w:p w:rsidR="00557658" w:rsidRPr="00557658" w:rsidRDefault="006E68E0" w:rsidP="00557658">
            <w:pPr>
              <w:rPr>
                <w:rFonts w:ascii="Calibri" w:hAnsi="Calibri" w:cs="Calibri"/>
                <w:color w:val="000000"/>
                <w:sz w:val="28"/>
                <w:szCs w:val="28"/>
              </w:rPr>
            </w:pPr>
            <w:r>
              <w:rPr>
                <w:rFonts w:ascii="Calibri" w:hAnsi="Calibri" w:cs="Calibri"/>
                <w:color w:val="000000"/>
                <w:sz w:val="28"/>
                <w:szCs w:val="28"/>
              </w:rPr>
              <w:t>Definition</w:t>
            </w:r>
          </w:p>
        </w:tc>
        <w:tc>
          <w:tcPr>
            <w:tcW w:w="3711" w:type="dxa"/>
            <w:tcBorders>
              <w:top w:val="single" w:sz="8" w:space="0" w:color="auto"/>
              <w:left w:val="nil"/>
              <w:bottom w:val="single" w:sz="8" w:space="0" w:color="auto"/>
              <w:right w:val="single" w:sz="8" w:space="0" w:color="auto"/>
            </w:tcBorders>
            <w:shd w:val="clear" w:color="auto" w:fill="auto"/>
            <w:noWrap/>
            <w:vAlign w:val="bottom"/>
            <w:hideMark/>
          </w:tcPr>
          <w:p w:rsidR="00557658" w:rsidRPr="00557658" w:rsidRDefault="006E68E0" w:rsidP="00307042">
            <w:pPr>
              <w:rPr>
                <w:rFonts w:ascii="Calibri" w:hAnsi="Calibri" w:cs="Calibri"/>
                <w:color w:val="000000"/>
                <w:sz w:val="28"/>
                <w:szCs w:val="28"/>
              </w:rPr>
            </w:pPr>
            <w:r>
              <w:rPr>
                <w:rFonts w:ascii="Calibri" w:hAnsi="Calibri" w:cs="Calibri"/>
                <w:color w:val="000000"/>
                <w:sz w:val="28"/>
                <w:szCs w:val="28"/>
              </w:rPr>
              <w:t>How</w:t>
            </w:r>
            <w:r w:rsidR="00307042">
              <w:rPr>
                <w:rFonts w:ascii="Calibri" w:hAnsi="Calibri" w:cs="Calibri"/>
                <w:color w:val="000000"/>
                <w:sz w:val="28"/>
                <w:szCs w:val="28"/>
              </w:rPr>
              <w:t xml:space="preserve"> and When</w:t>
            </w:r>
            <w:r>
              <w:rPr>
                <w:rFonts w:ascii="Calibri" w:hAnsi="Calibri" w:cs="Calibri"/>
                <w:color w:val="000000"/>
                <w:sz w:val="28"/>
                <w:szCs w:val="28"/>
              </w:rPr>
              <w:t xml:space="preserve"> the Health Center Should </w:t>
            </w:r>
            <w:r w:rsidR="00307042">
              <w:rPr>
                <w:rFonts w:ascii="Calibri" w:hAnsi="Calibri" w:cs="Calibri"/>
                <w:color w:val="000000"/>
                <w:sz w:val="28"/>
                <w:szCs w:val="28"/>
              </w:rPr>
              <w:t>Record</w:t>
            </w:r>
            <w:r>
              <w:rPr>
                <w:rFonts w:ascii="Calibri" w:hAnsi="Calibri" w:cs="Calibri"/>
                <w:color w:val="000000"/>
                <w:sz w:val="28"/>
                <w:szCs w:val="28"/>
              </w:rPr>
              <w:t xml:space="preserve"> the ET</w:t>
            </w:r>
          </w:p>
        </w:tc>
      </w:tr>
      <w:tr w:rsidR="006E68E0" w:rsidRPr="00557658" w:rsidTr="00430F72">
        <w:trPr>
          <w:trHeight w:val="324"/>
        </w:trPr>
        <w:tc>
          <w:tcPr>
            <w:tcW w:w="2070" w:type="dxa"/>
            <w:tcBorders>
              <w:top w:val="nil"/>
              <w:left w:val="single" w:sz="8" w:space="0" w:color="auto"/>
              <w:bottom w:val="single" w:sz="4" w:space="0" w:color="auto"/>
              <w:right w:val="single" w:sz="4" w:space="0" w:color="auto"/>
            </w:tcBorders>
            <w:shd w:val="clear" w:color="auto" w:fill="auto"/>
            <w:noWrap/>
            <w:vAlign w:val="bottom"/>
          </w:tcPr>
          <w:p w:rsidR="006E68E0" w:rsidRPr="0024684E" w:rsidRDefault="002855E8" w:rsidP="0024684E">
            <w:pPr>
              <w:rPr>
                <w:rFonts w:ascii="Calibri" w:hAnsi="Calibri" w:cs="Calibri"/>
                <w:b/>
                <w:color w:val="000000"/>
                <w:sz w:val="22"/>
                <w:szCs w:val="22"/>
              </w:rPr>
            </w:pPr>
            <w:r w:rsidRPr="0024684E">
              <w:rPr>
                <w:rFonts w:ascii="Calibri" w:hAnsi="Calibri" w:cs="Calibri"/>
                <w:b/>
                <w:color w:val="000000"/>
                <w:sz w:val="22"/>
                <w:szCs w:val="22"/>
              </w:rPr>
              <w:t>Accessing Community Resource/Service</w:t>
            </w:r>
          </w:p>
        </w:tc>
        <w:tc>
          <w:tcPr>
            <w:tcW w:w="4760" w:type="dxa"/>
            <w:tcBorders>
              <w:top w:val="nil"/>
              <w:left w:val="nil"/>
              <w:bottom w:val="single" w:sz="4" w:space="0" w:color="auto"/>
              <w:right w:val="single" w:sz="4" w:space="0" w:color="auto"/>
            </w:tcBorders>
            <w:shd w:val="clear" w:color="auto" w:fill="auto"/>
            <w:noWrap/>
            <w:vAlign w:val="bottom"/>
          </w:tcPr>
          <w:p w:rsidR="006E68E0" w:rsidRPr="007459CC" w:rsidRDefault="009A50B6" w:rsidP="00270403">
            <w:pPr>
              <w:jc w:val="right"/>
              <w:rPr>
                <w:rFonts w:ascii="Calibri" w:hAnsi="Calibri" w:cs="Calibri"/>
                <w:b/>
                <w:color w:val="000000"/>
                <w:sz w:val="22"/>
                <w:szCs w:val="22"/>
              </w:rPr>
            </w:pPr>
            <w:r>
              <w:rPr>
                <w:rFonts w:ascii="Calibri" w:hAnsi="Calibri" w:cs="Calibri"/>
                <w:color w:val="000000"/>
                <w:sz w:val="22"/>
                <w:szCs w:val="22"/>
              </w:rPr>
              <w:t>Patient</w:t>
            </w:r>
            <w:r w:rsidR="007459CC">
              <w:rPr>
                <w:rFonts w:ascii="Calibri" w:hAnsi="Calibri" w:cs="Calibri"/>
                <w:color w:val="000000"/>
                <w:sz w:val="22"/>
                <w:szCs w:val="22"/>
              </w:rPr>
              <w:t xml:space="preserve">  or family/representative</w:t>
            </w:r>
            <w:r>
              <w:rPr>
                <w:rFonts w:ascii="Calibri" w:hAnsi="Calibri" w:cs="Calibri"/>
                <w:color w:val="000000"/>
                <w:sz w:val="22"/>
                <w:szCs w:val="22"/>
              </w:rPr>
              <w:t xml:space="preserve"> is educated on available resources in their community</w:t>
            </w:r>
            <w:r w:rsidR="007459CC">
              <w:rPr>
                <w:rFonts w:ascii="Calibri" w:hAnsi="Calibri" w:cs="Calibri"/>
                <w:color w:val="000000"/>
                <w:sz w:val="22"/>
                <w:szCs w:val="22"/>
              </w:rPr>
              <w:t xml:space="preserve"> based on a presenting need</w:t>
            </w:r>
            <w:r>
              <w:rPr>
                <w:rFonts w:ascii="Calibri" w:hAnsi="Calibri" w:cs="Calibri"/>
                <w:color w:val="000000"/>
                <w:sz w:val="22"/>
                <w:szCs w:val="22"/>
              </w:rPr>
              <w:t xml:space="preserve"> (such as a</w:t>
            </w:r>
            <w:r w:rsidRPr="009A50B6">
              <w:rPr>
                <w:rFonts w:ascii="Calibri" w:hAnsi="Calibri" w:cs="Calibri"/>
                <w:color w:val="000000"/>
                <w:sz w:val="22"/>
                <w:szCs w:val="22"/>
              </w:rPr>
              <w:t xml:space="preserve">ssisting with immigration paperwork, finding domestic violence resources, obtaining legal services, medication assistance program registration, financial assistance, </w:t>
            </w:r>
            <w:r w:rsidR="00270403">
              <w:rPr>
                <w:rFonts w:ascii="Calibri" w:hAnsi="Calibri" w:cs="Calibri"/>
                <w:color w:val="000000"/>
                <w:sz w:val="22"/>
                <w:szCs w:val="22"/>
              </w:rPr>
              <w:t xml:space="preserve"> </w:t>
            </w:r>
            <w:r w:rsidR="007459CC">
              <w:rPr>
                <w:rFonts w:ascii="Calibri" w:hAnsi="Calibri" w:cs="Calibri"/>
                <w:color w:val="000000"/>
                <w:sz w:val="22"/>
                <w:szCs w:val="22"/>
              </w:rPr>
              <w:t>d</w:t>
            </w:r>
            <w:r>
              <w:rPr>
                <w:rFonts w:ascii="Calibri" w:hAnsi="Calibri" w:cs="Calibri"/>
                <w:color w:val="000000"/>
                <w:sz w:val="22"/>
                <w:szCs w:val="22"/>
              </w:rPr>
              <w:t xml:space="preserve">onations </w:t>
            </w:r>
            <w:r w:rsidRPr="009A50B6">
              <w:rPr>
                <w:rFonts w:ascii="Calibri" w:hAnsi="Calibri" w:cs="Calibri"/>
                <w:color w:val="000000"/>
                <w:sz w:val="22"/>
                <w:szCs w:val="22"/>
              </w:rPr>
              <w:t>including clothing, infant supplies</w:t>
            </w:r>
            <w:r w:rsidR="007459CC">
              <w:rPr>
                <w:rFonts w:ascii="Calibri" w:hAnsi="Calibri" w:cs="Calibri"/>
                <w:color w:val="000000"/>
                <w:sz w:val="22"/>
                <w:szCs w:val="22"/>
              </w:rPr>
              <w:t>, medical equipment, prostheses, a</w:t>
            </w:r>
            <w:r w:rsidRPr="009A50B6">
              <w:rPr>
                <w:rFonts w:ascii="Calibri" w:hAnsi="Calibri" w:cs="Calibri"/>
                <w:color w:val="000000"/>
                <w:sz w:val="22"/>
                <w:szCs w:val="22"/>
              </w:rPr>
              <w:t>ssist</w:t>
            </w:r>
            <w:r w:rsidR="007459CC">
              <w:rPr>
                <w:rFonts w:ascii="Calibri" w:hAnsi="Calibri" w:cs="Calibri"/>
                <w:color w:val="000000"/>
                <w:sz w:val="22"/>
                <w:szCs w:val="22"/>
              </w:rPr>
              <w:t xml:space="preserve">ance </w:t>
            </w:r>
            <w:r w:rsidRPr="009A50B6">
              <w:rPr>
                <w:rFonts w:ascii="Calibri" w:hAnsi="Calibri" w:cs="Calibri"/>
                <w:color w:val="000000"/>
                <w:sz w:val="22"/>
                <w:szCs w:val="22"/>
              </w:rPr>
              <w:t>finding employment, education opportunities, shelter</w:t>
            </w:r>
            <w:r w:rsidR="007459CC">
              <w:rPr>
                <w:rFonts w:ascii="Calibri" w:hAnsi="Calibri" w:cs="Calibri"/>
                <w:color w:val="000000"/>
                <w:sz w:val="22"/>
                <w:szCs w:val="22"/>
              </w:rPr>
              <w:t xml:space="preserve">) </w:t>
            </w:r>
            <w:r w:rsidR="007459CC">
              <w:rPr>
                <w:rFonts w:ascii="Calibri" w:hAnsi="Calibri" w:cs="Calibri"/>
                <w:b/>
                <w:color w:val="000000"/>
                <w:sz w:val="22"/>
                <w:szCs w:val="22"/>
              </w:rPr>
              <w:t xml:space="preserve">AND </w:t>
            </w:r>
            <w:r w:rsidR="007459CC">
              <w:rPr>
                <w:rFonts w:ascii="Calibri" w:hAnsi="Calibri" w:cs="Calibri"/>
                <w:color w:val="000000"/>
                <w:sz w:val="22"/>
                <w:szCs w:val="22"/>
              </w:rPr>
              <w:t>health center staff refers or connects the patient to the resource/service.</w:t>
            </w:r>
            <w:r w:rsidR="007459CC">
              <w:rPr>
                <w:rFonts w:ascii="Calibri" w:hAnsi="Calibri" w:cs="Calibri"/>
                <w:b/>
                <w:color w:val="000000"/>
                <w:sz w:val="22"/>
                <w:szCs w:val="22"/>
              </w:rPr>
              <w:t xml:space="preserve"> </w:t>
            </w:r>
          </w:p>
        </w:tc>
        <w:tc>
          <w:tcPr>
            <w:tcW w:w="3711" w:type="dxa"/>
            <w:tcBorders>
              <w:top w:val="nil"/>
              <w:left w:val="nil"/>
              <w:bottom w:val="single" w:sz="4" w:space="0" w:color="auto"/>
              <w:right w:val="single" w:sz="8" w:space="0" w:color="auto"/>
            </w:tcBorders>
            <w:shd w:val="clear" w:color="auto" w:fill="auto"/>
            <w:noWrap/>
            <w:vAlign w:val="bottom"/>
          </w:tcPr>
          <w:p w:rsidR="006E68E0" w:rsidRPr="00557658" w:rsidRDefault="00E43EDA" w:rsidP="007325AE">
            <w:pPr>
              <w:jc w:val="right"/>
              <w:rPr>
                <w:rFonts w:ascii="Calibri" w:hAnsi="Calibri" w:cs="Calibri"/>
                <w:color w:val="000000"/>
                <w:sz w:val="22"/>
                <w:szCs w:val="22"/>
              </w:rPr>
            </w:pPr>
            <w:r>
              <w:rPr>
                <w:rFonts w:ascii="Calibri" w:hAnsi="Calibri" w:cs="Calibri"/>
                <w:color w:val="000000"/>
                <w:sz w:val="22"/>
                <w:szCs w:val="22"/>
              </w:rPr>
              <w:t xml:space="preserve">Health center staff should open the patient’s health record and </w:t>
            </w:r>
            <w:r w:rsidR="007325AE">
              <w:rPr>
                <w:rFonts w:ascii="Calibri" w:hAnsi="Calibri" w:cs="Calibri"/>
                <w:color w:val="000000"/>
                <w:sz w:val="22"/>
                <w:szCs w:val="22"/>
              </w:rPr>
              <w:t>record</w:t>
            </w:r>
            <w:r>
              <w:rPr>
                <w:rFonts w:ascii="Calibri" w:hAnsi="Calibri" w:cs="Calibri"/>
                <w:color w:val="000000"/>
                <w:sz w:val="22"/>
                <w:szCs w:val="22"/>
              </w:rPr>
              <w:t xml:space="preserve"> this ET</w:t>
            </w:r>
            <w:r w:rsidR="007459CC" w:rsidRPr="007459CC">
              <w:rPr>
                <w:rFonts w:ascii="Calibri" w:hAnsi="Calibri" w:cs="Calibri"/>
                <w:color w:val="000000"/>
                <w:sz w:val="22"/>
                <w:szCs w:val="22"/>
              </w:rPr>
              <w:t xml:space="preserve"> when a member of </w:t>
            </w:r>
            <w:r w:rsidR="007459CC">
              <w:rPr>
                <w:rFonts w:ascii="Calibri" w:hAnsi="Calibri" w:cs="Calibri"/>
                <w:color w:val="000000"/>
                <w:sz w:val="22"/>
                <w:szCs w:val="22"/>
              </w:rPr>
              <w:t xml:space="preserve">health center staff </w:t>
            </w:r>
            <w:r w:rsidR="007459CC" w:rsidRPr="007459CC">
              <w:rPr>
                <w:rFonts w:ascii="Calibri" w:hAnsi="Calibri" w:cs="Calibri"/>
                <w:color w:val="000000"/>
                <w:sz w:val="22"/>
                <w:szCs w:val="22"/>
              </w:rPr>
              <w:t xml:space="preserve">educates the patient and/or family on available resources </w:t>
            </w:r>
            <w:r w:rsidR="007459CC" w:rsidRPr="00BE07B0">
              <w:rPr>
                <w:rFonts w:ascii="Calibri" w:hAnsi="Calibri" w:cs="Calibri"/>
                <w:b/>
                <w:color w:val="000000"/>
                <w:sz w:val="22"/>
                <w:szCs w:val="22"/>
              </w:rPr>
              <w:t>AND</w:t>
            </w:r>
            <w:r w:rsidR="007459CC" w:rsidRPr="007459CC">
              <w:rPr>
                <w:rFonts w:ascii="Calibri" w:hAnsi="Calibri" w:cs="Calibri"/>
                <w:color w:val="000000"/>
                <w:sz w:val="22"/>
                <w:szCs w:val="22"/>
              </w:rPr>
              <w:t xml:space="preserve"> refers/connects the patient </w:t>
            </w:r>
            <w:r w:rsidR="003750CB">
              <w:rPr>
                <w:rFonts w:ascii="Calibri" w:hAnsi="Calibri" w:cs="Calibri"/>
                <w:color w:val="000000"/>
                <w:sz w:val="22"/>
                <w:szCs w:val="22"/>
              </w:rPr>
              <w:t>to</w:t>
            </w:r>
            <w:r w:rsidR="007459CC" w:rsidRPr="007459CC">
              <w:rPr>
                <w:rFonts w:ascii="Calibri" w:hAnsi="Calibri" w:cs="Calibri"/>
                <w:color w:val="000000"/>
                <w:sz w:val="22"/>
                <w:szCs w:val="22"/>
              </w:rPr>
              <w:t xml:space="preserve"> the resource</w:t>
            </w:r>
          </w:p>
        </w:tc>
      </w:tr>
      <w:tr w:rsidR="006E68E0" w:rsidRPr="00557658" w:rsidTr="00430F72">
        <w:trPr>
          <w:trHeight w:val="324"/>
        </w:trPr>
        <w:tc>
          <w:tcPr>
            <w:tcW w:w="2070" w:type="dxa"/>
            <w:tcBorders>
              <w:top w:val="nil"/>
              <w:left w:val="single" w:sz="8" w:space="0" w:color="auto"/>
              <w:bottom w:val="single" w:sz="4" w:space="0" w:color="auto"/>
              <w:right w:val="single" w:sz="4" w:space="0" w:color="auto"/>
            </w:tcBorders>
            <w:shd w:val="clear" w:color="auto" w:fill="auto"/>
            <w:noWrap/>
            <w:vAlign w:val="bottom"/>
          </w:tcPr>
          <w:p w:rsidR="006E68E0" w:rsidRPr="0024684E" w:rsidRDefault="002855E8" w:rsidP="0024684E">
            <w:pPr>
              <w:rPr>
                <w:rFonts w:ascii="Calibri" w:hAnsi="Calibri" w:cs="Calibri"/>
                <w:b/>
                <w:color w:val="000000"/>
                <w:sz w:val="22"/>
                <w:szCs w:val="22"/>
              </w:rPr>
            </w:pPr>
            <w:r w:rsidRPr="0024684E">
              <w:rPr>
                <w:rFonts w:ascii="Calibri" w:hAnsi="Calibri" w:cs="Calibri"/>
                <w:b/>
                <w:color w:val="000000"/>
                <w:sz w:val="22"/>
                <w:szCs w:val="22"/>
              </w:rPr>
              <w:t>Case Management</w:t>
            </w:r>
          </w:p>
        </w:tc>
        <w:tc>
          <w:tcPr>
            <w:tcW w:w="4760" w:type="dxa"/>
            <w:tcBorders>
              <w:top w:val="nil"/>
              <w:left w:val="nil"/>
              <w:bottom w:val="single" w:sz="4" w:space="0" w:color="auto"/>
              <w:right w:val="single" w:sz="4" w:space="0" w:color="auto"/>
            </w:tcBorders>
            <w:shd w:val="clear" w:color="auto" w:fill="auto"/>
            <w:noWrap/>
            <w:vAlign w:val="bottom"/>
          </w:tcPr>
          <w:p w:rsidR="006E68E0" w:rsidRPr="00557658" w:rsidRDefault="003750CB" w:rsidP="00557658">
            <w:pPr>
              <w:jc w:val="right"/>
              <w:rPr>
                <w:rFonts w:ascii="Calibri" w:hAnsi="Calibri" w:cs="Calibri"/>
                <w:color w:val="000000"/>
                <w:sz w:val="22"/>
                <w:szCs w:val="22"/>
              </w:rPr>
            </w:pPr>
            <w:r>
              <w:rPr>
                <w:rFonts w:ascii="Calibri" w:hAnsi="Calibri" w:cs="Calibri"/>
                <w:color w:val="000000"/>
                <w:sz w:val="22"/>
                <w:szCs w:val="22"/>
              </w:rPr>
              <w:t xml:space="preserve">Case management is a process in which a physician or another qualified health care professional is responsible for direct care of a patient and, additionally, for coordinating, managing access to, initiating, and/or supervising other health care services needed by the patient </w:t>
            </w:r>
          </w:p>
        </w:tc>
        <w:tc>
          <w:tcPr>
            <w:tcW w:w="3711" w:type="dxa"/>
            <w:tcBorders>
              <w:top w:val="nil"/>
              <w:left w:val="nil"/>
              <w:bottom w:val="single" w:sz="4" w:space="0" w:color="auto"/>
              <w:right w:val="single" w:sz="8" w:space="0" w:color="auto"/>
            </w:tcBorders>
            <w:shd w:val="clear" w:color="auto" w:fill="auto"/>
            <w:noWrap/>
            <w:vAlign w:val="bottom"/>
          </w:tcPr>
          <w:p w:rsidR="007325AE" w:rsidRPr="007325AE" w:rsidRDefault="007325AE" w:rsidP="007325AE">
            <w:pPr>
              <w:jc w:val="right"/>
              <w:rPr>
                <w:rFonts w:ascii="Calibri" w:hAnsi="Calibri" w:cs="Calibri"/>
                <w:b/>
                <w:color w:val="000000"/>
                <w:sz w:val="22"/>
                <w:szCs w:val="22"/>
              </w:rPr>
            </w:pPr>
            <w:r>
              <w:rPr>
                <w:rFonts w:ascii="Calibri" w:hAnsi="Calibri" w:cs="Calibri"/>
                <w:color w:val="000000"/>
                <w:sz w:val="22"/>
                <w:szCs w:val="22"/>
              </w:rPr>
              <w:t xml:space="preserve">Health center staff should open the patient’s health record and record this ET when a </w:t>
            </w:r>
            <w:r w:rsidRPr="007325AE">
              <w:rPr>
                <w:rFonts w:ascii="Calibri" w:hAnsi="Calibri" w:cs="Calibri"/>
                <w:b/>
                <w:color w:val="000000"/>
                <w:sz w:val="22"/>
                <w:szCs w:val="22"/>
              </w:rPr>
              <w:t>case manager is assigned</w:t>
            </w:r>
            <w:r>
              <w:rPr>
                <w:rFonts w:ascii="Calibri" w:hAnsi="Calibri" w:cs="Calibri"/>
                <w:color w:val="000000"/>
                <w:sz w:val="22"/>
                <w:szCs w:val="22"/>
              </w:rPr>
              <w:t xml:space="preserve"> to the patient and </w:t>
            </w:r>
            <w:r w:rsidRPr="00BE07B0">
              <w:rPr>
                <w:rFonts w:ascii="Calibri" w:hAnsi="Calibri" w:cs="Calibri"/>
                <w:color w:val="000000"/>
                <w:sz w:val="22"/>
                <w:szCs w:val="22"/>
              </w:rPr>
              <w:t xml:space="preserve">engages in direct care </w:t>
            </w:r>
            <w:r w:rsidRPr="00BE07B0">
              <w:rPr>
                <w:rFonts w:ascii="Calibri" w:hAnsi="Calibri" w:cs="Calibri"/>
                <w:b/>
                <w:color w:val="000000"/>
                <w:sz w:val="22"/>
                <w:szCs w:val="22"/>
              </w:rPr>
              <w:t>OR</w:t>
            </w:r>
            <w:r w:rsidRPr="00BE07B0">
              <w:rPr>
                <w:rFonts w:ascii="Calibri" w:hAnsi="Calibri" w:cs="Calibri"/>
                <w:color w:val="000000"/>
                <w:sz w:val="22"/>
                <w:szCs w:val="22"/>
              </w:rPr>
              <w:t xml:space="preserve"> coordination of care </w:t>
            </w:r>
            <w:r w:rsidRPr="00BE07B0">
              <w:rPr>
                <w:rFonts w:ascii="Calibri" w:hAnsi="Calibri" w:cs="Calibri"/>
                <w:b/>
                <w:color w:val="000000"/>
                <w:sz w:val="22"/>
                <w:szCs w:val="22"/>
              </w:rPr>
              <w:t>OR</w:t>
            </w:r>
            <w:r w:rsidRPr="00BE07B0">
              <w:rPr>
                <w:rFonts w:ascii="Calibri" w:hAnsi="Calibri" w:cs="Calibri"/>
                <w:color w:val="000000"/>
                <w:sz w:val="22"/>
                <w:szCs w:val="22"/>
              </w:rPr>
              <w:t xml:space="preserve"> manages patient’s access to care </w:t>
            </w:r>
            <w:r w:rsidRPr="00BE07B0">
              <w:rPr>
                <w:rFonts w:ascii="Calibri" w:hAnsi="Calibri" w:cs="Calibri"/>
                <w:b/>
                <w:color w:val="000000"/>
                <w:sz w:val="22"/>
                <w:szCs w:val="22"/>
              </w:rPr>
              <w:t>OR</w:t>
            </w:r>
            <w:r w:rsidRPr="00BE07B0">
              <w:rPr>
                <w:rFonts w:ascii="Calibri" w:hAnsi="Calibri" w:cs="Calibri"/>
                <w:color w:val="000000"/>
                <w:sz w:val="22"/>
                <w:szCs w:val="22"/>
              </w:rPr>
              <w:t xml:space="preserve"> initiates </w:t>
            </w:r>
            <w:r w:rsidRPr="00BE07B0">
              <w:rPr>
                <w:rFonts w:ascii="Calibri" w:hAnsi="Calibri" w:cs="Calibri"/>
                <w:color w:val="000000"/>
                <w:sz w:val="22"/>
                <w:szCs w:val="22"/>
              </w:rPr>
              <w:lastRenderedPageBreak/>
              <w:t>and/or supervises other health care services needed by the patient</w:t>
            </w:r>
          </w:p>
        </w:tc>
      </w:tr>
      <w:tr w:rsidR="006E68E0" w:rsidRPr="00557658" w:rsidTr="00430F72">
        <w:trPr>
          <w:trHeight w:val="324"/>
        </w:trPr>
        <w:tc>
          <w:tcPr>
            <w:tcW w:w="2070" w:type="dxa"/>
            <w:tcBorders>
              <w:top w:val="nil"/>
              <w:left w:val="single" w:sz="8" w:space="0" w:color="auto"/>
              <w:bottom w:val="single" w:sz="4" w:space="0" w:color="auto"/>
              <w:right w:val="single" w:sz="4" w:space="0" w:color="auto"/>
            </w:tcBorders>
            <w:shd w:val="clear" w:color="auto" w:fill="auto"/>
            <w:noWrap/>
            <w:vAlign w:val="bottom"/>
          </w:tcPr>
          <w:p w:rsidR="006E68E0" w:rsidRPr="0024684E" w:rsidRDefault="002855E8" w:rsidP="0024684E">
            <w:pPr>
              <w:rPr>
                <w:rFonts w:ascii="Calibri" w:hAnsi="Calibri" w:cs="Calibri"/>
                <w:b/>
                <w:color w:val="000000"/>
                <w:sz w:val="22"/>
                <w:szCs w:val="22"/>
              </w:rPr>
            </w:pPr>
            <w:r w:rsidRPr="0024684E">
              <w:rPr>
                <w:rFonts w:ascii="Calibri" w:hAnsi="Calibri" w:cs="Calibri"/>
                <w:b/>
                <w:color w:val="000000"/>
                <w:sz w:val="22"/>
                <w:szCs w:val="22"/>
              </w:rPr>
              <w:lastRenderedPageBreak/>
              <w:t>Education Provided in Group Setting</w:t>
            </w:r>
          </w:p>
        </w:tc>
        <w:tc>
          <w:tcPr>
            <w:tcW w:w="4760" w:type="dxa"/>
            <w:tcBorders>
              <w:top w:val="nil"/>
              <w:left w:val="nil"/>
              <w:bottom w:val="single" w:sz="4" w:space="0" w:color="auto"/>
              <w:right w:val="single" w:sz="4" w:space="0" w:color="auto"/>
            </w:tcBorders>
            <w:shd w:val="clear" w:color="auto" w:fill="auto"/>
            <w:noWrap/>
            <w:vAlign w:val="bottom"/>
          </w:tcPr>
          <w:p w:rsidR="006E68E0" w:rsidRPr="00557658" w:rsidRDefault="00E371D4" w:rsidP="00BE07B0">
            <w:pPr>
              <w:jc w:val="right"/>
              <w:rPr>
                <w:rFonts w:ascii="Calibri" w:hAnsi="Calibri" w:cs="Calibri"/>
                <w:color w:val="000000"/>
                <w:sz w:val="22"/>
                <w:szCs w:val="22"/>
              </w:rPr>
            </w:pPr>
            <w:r>
              <w:rPr>
                <w:rFonts w:ascii="Calibri" w:hAnsi="Calibri" w:cs="Calibri"/>
                <w:color w:val="000000"/>
                <w:sz w:val="22"/>
                <w:szCs w:val="22"/>
              </w:rPr>
              <w:t>Health center staff educate a group of patients on health promotion activities (such as parenting/pregnancy classes, health fairs, and teaching kitchens/healthy cooking classes)</w:t>
            </w:r>
          </w:p>
        </w:tc>
        <w:tc>
          <w:tcPr>
            <w:tcW w:w="3711" w:type="dxa"/>
            <w:tcBorders>
              <w:top w:val="nil"/>
              <w:left w:val="nil"/>
              <w:bottom w:val="single" w:sz="4" w:space="0" w:color="auto"/>
              <w:right w:val="single" w:sz="8" w:space="0" w:color="auto"/>
            </w:tcBorders>
            <w:shd w:val="clear" w:color="auto" w:fill="auto"/>
            <w:noWrap/>
            <w:vAlign w:val="bottom"/>
          </w:tcPr>
          <w:p w:rsidR="006E68E0" w:rsidRPr="00557658" w:rsidRDefault="00E371D4" w:rsidP="00557658">
            <w:pPr>
              <w:jc w:val="right"/>
              <w:rPr>
                <w:rFonts w:ascii="Calibri" w:hAnsi="Calibri" w:cs="Calibri"/>
                <w:color w:val="000000"/>
                <w:sz w:val="22"/>
                <w:szCs w:val="22"/>
              </w:rPr>
            </w:pPr>
            <w:r>
              <w:rPr>
                <w:rFonts w:ascii="Calibri" w:hAnsi="Calibri" w:cs="Calibri"/>
                <w:color w:val="000000"/>
                <w:sz w:val="22"/>
                <w:szCs w:val="22"/>
              </w:rPr>
              <w:t>Health center staff should open the patient’s health record and record this ET when they have verified that the individual patient attended the education class/event</w:t>
            </w:r>
          </w:p>
        </w:tc>
      </w:tr>
      <w:tr w:rsidR="006E68E0" w:rsidRPr="00557658" w:rsidTr="00430F72">
        <w:trPr>
          <w:trHeight w:val="324"/>
        </w:trPr>
        <w:tc>
          <w:tcPr>
            <w:tcW w:w="2070" w:type="dxa"/>
            <w:tcBorders>
              <w:top w:val="nil"/>
              <w:left w:val="single" w:sz="8" w:space="0" w:color="auto"/>
              <w:bottom w:val="single" w:sz="4" w:space="0" w:color="auto"/>
              <w:right w:val="single" w:sz="4" w:space="0" w:color="auto"/>
            </w:tcBorders>
            <w:shd w:val="clear" w:color="auto" w:fill="auto"/>
            <w:noWrap/>
            <w:vAlign w:val="bottom"/>
          </w:tcPr>
          <w:p w:rsidR="006E68E0" w:rsidRPr="0024684E" w:rsidRDefault="002855E8" w:rsidP="0024684E">
            <w:pPr>
              <w:rPr>
                <w:rFonts w:ascii="Calibri" w:hAnsi="Calibri" w:cs="Calibri"/>
                <w:b/>
                <w:color w:val="000000"/>
                <w:sz w:val="22"/>
                <w:szCs w:val="22"/>
              </w:rPr>
            </w:pPr>
            <w:r w:rsidRPr="0024684E">
              <w:rPr>
                <w:rFonts w:ascii="Calibri" w:hAnsi="Calibri" w:cs="Calibri"/>
                <w:b/>
                <w:color w:val="000000"/>
                <w:sz w:val="22"/>
                <w:szCs w:val="22"/>
              </w:rPr>
              <w:t>Exercise Class Participant</w:t>
            </w:r>
          </w:p>
        </w:tc>
        <w:tc>
          <w:tcPr>
            <w:tcW w:w="4760" w:type="dxa"/>
            <w:tcBorders>
              <w:top w:val="nil"/>
              <w:left w:val="nil"/>
              <w:bottom w:val="single" w:sz="4" w:space="0" w:color="auto"/>
              <w:right w:val="single" w:sz="4" w:space="0" w:color="auto"/>
            </w:tcBorders>
            <w:shd w:val="clear" w:color="auto" w:fill="auto"/>
            <w:noWrap/>
            <w:vAlign w:val="bottom"/>
          </w:tcPr>
          <w:p w:rsidR="006E68E0" w:rsidRPr="00557658" w:rsidRDefault="00E371D4" w:rsidP="00BE07B0">
            <w:pPr>
              <w:jc w:val="right"/>
              <w:rPr>
                <w:rFonts w:ascii="Calibri" w:hAnsi="Calibri" w:cs="Calibri"/>
                <w:color w:val="000000"/>
                <w:sz w:val="22"/>
                <w:szCs w:val="22"/>
              </w:rPr>
            </w:pPr>
            <w:r>
              <w:rPr>
                <w:rFonts w:ascii="Calibri" w:hAnsi="Calibri" w:cs="Calibri"/>
                <w:color w:val="000000"/>
                <w:sz w:val="22"/>
                <w:szCs w:val="22"/>
              </w:rPr>
              <w:t xml:space="preserve">The health center or affiliated group hosts a class available to the health center’s patients. The health center is able to verify that </w:t>
            </w:r>
            <w:r w:rsidR="00037AD1">
              <w:rPr>
                <w:rFonts w:ascii="Calibri" w:hAnsi="Calibri" w:cs="Calibri"/>
                <w:color w:val="000000"/>
                <w:sz w:val="22"/>
                <w:szCs w:val="22"/>
              </w:rPr>
              <w:t>the patient attended</w:t>
            </w:r>
            <w:r>
              <w:rPr>
                <w:rFonts w:ascii="Calibri" w:hAnsi="Calibri" w:cs="Calibri"/>
                <w:color w:val="000000"/>
                <w:sz w:val="22"/>
                <w:szCs w:val="22"/>
              </w:rPr>
              <w:t xml:space="preserve"> an exercise class (including a low-impact walking group, yoga, </w:t>
            </w:r>
            <w:proofErr w:type="spellStart"/>
            <w:r>
              <w:rPr>
                <w:rFonts w:ascii="Calibri" w:hAnsi="Calibri" w:cs="Calibri"/>
                <w:color w:val="000000"/>
                <w:sz w:val="22"/>
                <w:szCs w:val="22"/>
              </w:rPr>
              <w:t>Zumba</w:t>
            </w:r>
            <w:proofErr w:type="spellEnd"/>
            <w:r>
              <w:rPr>
                <w:rFonts w:ascii="Calibri" w:hAnsi="Calibri" w:cs="Calibri"/>
                <w:color w:val="000000"/>
                <w:sz w:val="22"/>
                <w:szCs w:val="22"/>
              </w:rPr>
              <w:t>, and Tai Chi).</w:t>
            </w:r>
          </w:p>
        </w:tc>
        <w:tc>
          <w:tcPr>
            <w:tcW w:w="3711" w:type="dxa"/>
            <w:tcBorders>
              <w:top w:val="nil"/>
              <w:left w:val="nil"/>
              <w:bottom w:val="single" w:sz="4" w:space="0" w:color="auto"/>
              <w:right w:val="single" w:sz="8" w:space="0" w:color="auto"/>
            </w:tcBorders>
            <w:shd w:val="clear" w:color="auto" w:fill="auto"/>
            <w:noWrap/>
            <w:vAlign w:val="bottom"/>
          </w:tcPr>
          <w:p w:rsidR="006E68E0" w:rsidRPr="00557658" w:rsidRDefault="00037AD1" w:rsidP="00557658">
            <w:pPr>
              <w:jc w:val="right"/>
              <w:rPr>
                <w:rFonts w:ascii="Calibri" w:hAnsi="Calibri" w:cs="Calibri"/>
                <w:color w:val="000000"/>
                <w:sz w:val="22"/>
                <w:szCs w:val="22"/>
              </w:rPr>
            </w:pPr>
            <w:r>
              <w:rPr>
                <w:rFonts w:ascii="Calibri" w:hAnsi="Calibri" w:cs="Calibri"/>
                <w:color w:val="000000"/>
                <w:sz w:val="22"/>
                <w:szCs w:val="22"/>
              </w:rPr>
              <w:t>Health center staff should open the patient’s health record and record this ET when they have verified that the individual patient attended the exercise class/event</w:t>
            </w:r>
          </w:p>
        </w:tc>
      </w:tr>
      <w:tr w:rsidR="007501FD" w:rsidRPr="00557658" w:rsidTr="00430F72">
        <w:trPr>
          <w:trHeight w:val="341"/>
        </w:trPr>
        <w:tc>
          <w:tcPr>
            <w:tcW w:w="2070" w:type="dxa"/>
            <w:tcBorders>
              <w:top w:val="nil"/>
              <w:left w:val="single" w:sz="8" w:space="0" w:color="auto"/>
              <w:bottom w:val="single" w:sz="4" w:space="0" w:color="auto"/>
              <w:right w:val="single" w:sz="4" w:space="0" w:color="auto"/>
            </w:tcBorders>
            <w:shd w:val="clear" w:color="auto" w:fill="auto"/>
            <w:noWrap/>
            <w:vAlign w:val="bottom"/>
          </w:tcPr>
          <w:p w:rsidR="007501FD" w:rsidRPr="0024684E" w:rsidRDefault="007501FD" w:rsidP="0024684E">
            <w:pPr>
              <w:rPr>
                <w:rFonts w:ascii="Calibri" w:hAnsi="Calibri" w:cs="Calibri"/>
                <w:b/>
                <w:color w:val="000000"/>
                <w:sz w:val="22"/>
                <w:szCs w:val="22"/>
              </w:rPr>
            </w:pPr>
            <w:proofErr w:type="spellStart"/>
            <w:r w:rsidRPr="0024684E">
              <w:rPr>
                <w:rFonts w:ascii="Calibri" w:hAnsi="Calibri" w:cs="Calibri"/>
                <w:b/>
                <w:color w:val="000000"/>
                <w:sz w:val="22"/>
                <w:szCs w:val="22"/>
              </w:rPr>
              <w:t>MyChart</w:t>
            </w:r>
            <w:proofErr w:type="spellEnd"/>
            <w:r w:rsidRPr="0024684E">
              <w:rPr>
                <w:rFonts w:ascii="Calibri" w:hAnsi="Calibri" w:cs="Calibri"/>
                <w:b/>
                <w:color w:val="000000"/>
                <w:sz w:val="22"/>
                <w:szCs w:val="22"/>
              </w:rPr>
              <w:t xml:space="preserve"> Encounter</w:t>
            </w:r>
          </w:p>
        </w:tc>
        <w:tc>
          <w:tcPr>
            <w:tcW w:w="4760" w:type="dxa"/>
            <w:tcBorders>
              <w:top w:val="nil"/>
              <w:left w:val="nil"/>
              <w:bottom w:val="single" w:sz="4" w:space="0" w:color="auto"/>
              <w:right w:val="single" w:sz="4" w:space="0" w:color="auto"/>
            </w:tcBorders>
            <w:shd w:val="clear" w:color="auto" w:fill="auto"/>
            <w:noWrap/>
            <w:vAlign w:val="bottom"/>
          </w:tcPr>
          <w:p w:rsidR="007501FD" w:rsidRPr="00557658" w:rsidRDefault="007501FD" w:rsidP="00557658">
            <w:pPr>
              <w:jc w:val="right"/>
              <w:rPr>
                <w:rFonts w:ascii="Calibri" w:hAnsi="Calibri" w:cs="Calibri"/>
                <w:color w:val="000000"/>
                <w:sz w:val="22"/>
                <w:szCs w:val="22"/>
              </w:rPr>
            </w:pPr>
            <w:r>
              <w:rPr>
                <w:rFonts w:ascii="Calibri" w:hAnsi="Calibri" w:cs="Calibri"/>
                <w:color w:val="000000"/>
                <w:sz w:val="22"/>
                <w:szCs w:val="22"/>
              </w:rPr>
              <w:t>A web portal application within the EPIC electronic health record system that allows patients to connect directly with their provider and care team over the internet, securely.</w:t>
            </w:r>
          </w:p>
        </w:tc>
        <w:tc>
          <w:tcPr>
            <w:tcW w:w="3711" w:type="dxa"/>
            <w:tcBorders>
              <w:top w:val="nil"/>
              <w:left w:val="nil"/>
              <w:bottom w:val="single" w:sz="4" w:space="0" w:color="auto"/>
              <w:right w:val="single" w:sz="8" w:space="0" w:color="auto"/>
            </w:tcBorders>
            <w:shd w:val="clear" w:color="auto" w:fill="auto"/>
            <w:noWrap/>
            <w:vAlign w:val="bottom"/>
          </w:tcPr>
          <w:p w:rsidR="007501FD" w:rsidRPr="00557658" w:rsidRDefault="007501FD" w:rsidP="00037AD1">
            <w:pPr>
              <w:jc w:val="right"/>
              <w:rPr>
                <w:rFonts w:ascii="Calibri" w:hAnsi="Calibri" w:cs="Calibri"/>
                <w:color w:val="000000"/>
                <w:sz w:val="22"/>
                <w:szCs w:val="22"/>
              </w:rPr>
            </w:pPr>
            <w:r>
              <w:rPr>
                <w:rFonts w:ascii="Calibri" w:hAnsi="Calibri" w:cs="Calibri"/>
                <w:color w:val="000000"/>
                <w:sz w:val="22"/>
                <w:szCs w:val="22"/>
              </w:rPr>
              <w:t>Automatically records as ET when a message is sent from the patient, or the patient’s provider sends a message to them</w:t>
            </w:r>
          </w:p>
        </w:tc>
      </w:tr>
      <w:tr w:rsidR="007501FD" w:rsidRPr="00557658" w:rsidTr="00430F72">
        <w:trPr>
          <w:trHeight w:val="324"/>
        </w:trPr>
        <w:tc>
          <w:tcPr>
            <w:tcW w:w="2070" w:type="dxa"/>
            <w:tcBorders>
              <w:top w:val="nil"/>
              <w:left w:val="single" w:sz="8" w:space="0" w:color="auto"/>
              <w:bottom w:val="single" w:sz="4" w:space="0" w:color="auto"/>
              <w:right w:val="single" w:sz="4" w:space="0" w:color="auto"/>
            </w:tcBorders>
            <w:shd w:val="clear" w:color="auto" w:fill="auto"/>
            <w:noWrap/>
            <w:vAlign w:val="bottom"/>
          </w:tcPr>
          <w:p w:rsidR="007501FD" w:rsidRPr="0024684E" w:rsidRDefault="007501FD" w:rsidP="0024684E">
            <w:pPr>
              <w:rPr>
                <w:rFonts w:ascii="Calibri" w:hAnsi="Calibri" w:cs="Calibri"/>
                <w:b/>
                <w:color w:val="000000"/>
                <w:sz w:val="22"/>
                <w:szCs w:val="22"/>
              </w:rPr>
            </w:pPr>
            <w:r w:rsidRPr="0024684E">
              <w:rPr>
                <w:rFonts w:ascii="Calibri" w:hAnsi="Calibri" w:cs="Calibri"/>
                <w:b/>
                <w:color w:val="000000"/>
                <w:sz w:val="22"/>
                <w:szCs w:val="22"/>
              </w:rPr>
              <w:t>Support Group Participant</w:t>
            </w:r>
          </w:p>
        </w:tc>
        <w:tc>
          <w:tcPr>
            <w:tcW w:w="4760" w:type="dxa"/>
            <w:tcBorders>
              <w:top w:val="nil"/>
              <w:left w:val="nil"/>
              <w:bottom w:val="single" w:sz="4" w:space="0" w:color="auto"/>
              <w:right w:val="single" w:sz="4" w:space="0" w:color="auto"/>
            </w:tcBorders>
            <w:shd w:val="clear" w:color="auto" w:fill="auto"/>
            <w:noWrap/>
            <w:vAlign w:val="bottom"/>
          </w:tcPr>
          <w:p w:rsidR="007501FD" w:rsidRPr="00557658" w:rsidRDefault="007501FD" w:rsidP="00557658">
            <w:pPr>
              <w:jc w:val="right"/>
              <w:rPr>
                <w:rFonts w:ascii="Calibri" w:hAnsi="Calibri" w:cs="Calibri"/>
                <w:color w:val="000000"/>
                <w:sz w:val="22"/>
                <w:szCs w:val="22"/>
              </w:rPr>
            </w:pPr>
            <w:r>
              <w:rPr>
                <w:rFonts w:ascii="Calibri" w:hAnsi="Calibri" w:cs="Calibri"/>
                <w:color w:val="000000"/>
                <w:sz w:val="22"/>
                <w:szCs w:val="22"/>
              </w:rPr>
              <w:t xml:space="preserve">Patient and/or family attends an organized grouping of people with common experiences and concerns, who provide emotional and moral support for one another. </w:t>
            </w:r>
          </w:p>
        </w:tc>
        <w:tc>
          <w:tcPr>
            <w:tcW w:w="3711" w:type="dxa"/>
            <w:tcBorders>
              <w:top w:val="nil"/>
              <w:left w:val="nil"/>
              <w:bottom w:val="single" w:sz="4" w:space="0" w:color="auto"/>
              <w:right w:val="single" w:sz="8" w:space="0" w:color="auto"/>
            </w:tcBorders>
            <w:shd w:val="clear" w:color="auto" w:fill="auto"/>
            <w:noWrap/>
            <w:vAlign w:val="bottom"/>
          </w:tcPr>
          <w:p w:rsidR="007501FD" w:rsidRPr="00557658" w:rsidRDefault="007501FD" w:rsidP="00557658">
            <w:pPr>
              <w:jc w:val="right"/>
              <w:rPr>
                <w:rFonts w:ascii="Calibri" w:hAnsi="Calibri" w:cs="Calibri"/>
                <w:color w:val="000000"/>
                <w:sz w:val="22"/>
                <w:szCs w:val="22"/>
              </w:rPr>
            </w:pPr>
            <w:r>
              <w:rPr>
                <w:rFonts w:ascii="Calibri" w:hAnsi="Calibri" w:cs="Calibri"/>
                <w:color w:val="000000"/>
                <w:sz w:val="22"/>
                <w:szCs w:val="22"/>
              </w:rPr>
              <w:t>Health center staff should open the patient’s health record and record this ET when they have verified patient attended a support group hosted by their health center or referred to by the health center. Verification may come from the patient</w:t>
            </w:r>
          </w:p>
        </w:tc>
      </w:tr>
      <w:tr w:rsidR="007501FD" w:rsidRPr="00557658" w:rsidTr="00430F72">
        <w:trPr>
          <w:trHeight w:val="324"/>
        </w:trPr>
        <w:tc>
          <w:tcPr>
            <w:tcW w:w="2070" w:type="dxa"/>
            <w:tcBorders>
              <w:top w:val="nil"/>
              <w:left w:val="single" w:sz="8" w:space="0" w:color="auto"/>
              <w:bottom w:val="single" w:sz="4" w:space="0" w:color="auto"/>
              <w:right w:val="single" w:sz="4" w:space="0" w:color="auto"/>
            </w:tcBorders>
            <w:shd w:val="clear" w:color="auto" w:fill="auto"/>
            <w:noWrap/>
            <w:vAlign w:val="bottom"/>
          </w:tcPr>
          <w:p w:rsidR="007501FD" w:rsidRPr="0024684E" w:rsidRDefault="007501FD" w:rsidP="0024684E">
            <w:pPr>
              <w:rPr>
                <w:rFonts w:ascii="Calibri" w:hAnsi="Calibri" w:cs="Calibri"/>
                <w:b/>
                <w:color w:val="000000"/>
                <w:sz w:val="22"/>
                <w:szCs w:val="22"/>
              </w:rPr>
            </w:pPr>
            <w:r w:rsidRPr="0024684E">
              <w:rPr>
                <w:rFonts w:ascii="Calibri" w:hAnsi="Calibri" w:cs="Calibri"/>
                <w:b/>
                <w:color w:val="000000"/>
                <w:sz w:val="22"/>
                <w:szCs w:val="22"/>
              </w:rPr>
              <w:t>Telephone Visit</w:t>
            </w:r>
          </w:p>
        </w:tc>
        <w:tc>
          <w:tcPr>
            <w:tcW w:w="4760" w:type="dxa"/>
            <w:tcBorders>
              <w:top w:val="nil"/>
              <w:left w:val="nil"/>
              <w:bottom w:val="single" w:sz="4" w:space="0" w:color="auto"/>
              <w:right w:val="single" w:sz="4" w:space="0" w:color="auto"/>
            </w:tcBorders>
            <w:shd w:val="clear" w:color="auto" w:fill="auto"/>
            <w:noWrap/>
            <w:vAlign w:val="bottom"/>
          </w:tcPr>
          <w:p w:rsidR="007501FD" w:rsidRPr="00557658" w:rsidRDefault="007501FD" w:rsidP="00557658">
            <w:pPr>
              <w:jc w:val="right"/>
              <w:rPr>
                <w:rFonts w:ascii="Calibri" w:hAnsi="Calibri" w:cs="Calibri"/>
                <w:color w:val="000000"/>
                <w:sz w:val="22"/>
                <w:szCs w:val="22"/>
              </w:rPr>
            </w:pPr>
            <w:r w:rsidRPr="00E6671A">
              <w:rPr>
                <w:rFonts w:ascii="Calibri" w:hAnsi="Calibri" w:cs="Calibri"/>
                <w:color w:val="000000"/>
                <w:sz w:val="22"/>
                <w:szCs w:val="22"/>
              </w:rPr>
              <w:t xml:space="preserve">Call with patient </w:t>
            </w:r>
            <w:r>
              <w:rPr>
                <w:rFonts w:ascii="Calibri" w:hAnsi="Calibri" w:cs="Calibri"/>
                <w:color w:val="000000"/>
                <w:sz w:val="22"/>
                <w:szCs w:val="22"/>
              </w:rPr>
              <w:t>(</w:t>
            </w:r>
            <w:r w:rsidRPr="00E6671A">
              <w:rPr>
                <w:rFonts w:ascii="Calibri" w:hAnsi="Calibri" w:cs="Calibri"/>
                <w:b/>
                <w:color w:val="000000"/>
                <w:sz w:val="22"/>
                <w:szCs w:val="22"/>
              </w:rPr>
              <w:t>unrelated to tobacco cessation or maternity case management</w:t>
            </w:r>
            <w:r>
              <w:rPr>
                <w:rFonts w:ascii="Calibri" w:hAnsi="Calibri" w:cs="Calibri"/>
                <w:color w:val="000000"/>
                <w:sz w:val="22"/>
                <w:szCs w:val="22"/>
              </w:rPr>
              <w:t>)</w:t>
            </w:r>
            <w:r w:rsidRPr="00E6671A">
              <w:rPr>
                <w:rFonts w:ascii="Calibri" w:hAnsi="Calibri" w:cs="Calibri"/>
                <w:color w:val="000000"/>
                <w:sz w:val="22"/>
                <w:szCs w:val="22"/>
              </w:rPr>
              <w:t xml:space="preserve"> about medical/dental/MH/A&amp;D condition or medications </w:t>
            </w:r>
            <w:r>
              <w:rPr>
                <w:rFonts w:ascii="Calibri" w:hAnsi="Calibri" w:cs="Calibri"/>
                <w:color w:val="000000"/>
                <w:sz w:val="22"/>
                <w:szCs w:val="22"/>
              </w:rPr>
              <w:t>to discuss</w:t>
            </w:r>
            <w:r w:rsidRPr="00E6671A">
              <w:rPr>
                <w:rFonts w:ascii="Calibri" w:hAnsi="Calibri" w:cs="Calibri"/>
                <w:color w:val="000000"/>
                <w:sz w:val="22"/>
                <w:szCs w:val="22"/>
              </w:rPr>
              <w:t xml:space="preserve"> or cre</w:t>
            </w:r>
            <w:r>
              <w:rPr>
                <w:rFonts w:ascii="Calibri" w:hAnsi="Calibri" w:cs="Calibri"/>
                <w:color w:val="000000"/>
                <w:sz w:val="22"/>
                <w:szCs w:val="22"/>
              </w:rPr>
              <w:t>ate</w:t>
            </w:r>
            <w:r w:rsidRPr="00E6671A">
              <w:rPr>
                <w:rFonts w:ascii="Calibri" w:hAnsi="Calibri" w:cs="Calibri"/>
                <w:color w:val="000000"/>
                <w:sz w:val="22"/>
                <w:szCs w:val="22"/>
              </w:rPr>
              <w:t xml:space="preserve"> care plan, treatment options, and/or health promotion activities </w:t>
            </w:r>
          </w:p>
        </w:tc>
        <w:tc>
          <w:tcPr>
            <w:tcW w:w="3711" w:type="dxa"/>
            <w:tcBorders>
              <w:top w:val="nil"/>
              <w:left w:val="nil"/>
              <w:bottom w:val="single" w:sz="4" w:space="0" w:color="auto"/>
              <w:right w:val="single" w:sz="8" w:space="0" w:color="auto"/>
            </w:tcBorders>
            <w:shd w:val="clear" w:color="auto" w:fill="auto"/>
            <w:noWrap/>
            <w:vAlign w:val="bottom"/>
          </w:tcPr>
          <w:p w:rsidR="007501FD" w:rsidRPr="00557658" w:rsidRDefault="007501FD" w:rsidP="00E83146">
            <w:pPr>
              <w:jc w:val="right"/>
              <w:rPr>
                <w:rFonts w:ascii="Calibri" w:hAnsi="Calibri" w:cs="Calibri"/>
                <w:color w:val="000000"/>
                <w:sz w:val="22"/>
                <w:szCs w:val="22"/>
              </w:rPr>
            </w:pPr>
            <w:r>
              <w:rPr>
                <w:rFonts w:ascii="Calibri" w:hAnsi="Calibri" w:cs="Calibri"/>
                <w:color w:val="000000"/>
                <w:sz w:val="22"/>
                <w:szCs w:val="22"/>
              </w:rPr>
              <w:t xml:space="preserve">Health center staff should open the patient’s health record and record this ET </w:t>
            </w:r>
            <w:r w:rsidRPr="00E6671A">
              <w:rPr>
                <w:rFonts w:ascii="Calibri" w:hAnsi="Calibri" w:cs="Calibri"/>
                <w:color w:val="000000"/>
                <w:sz w:val="22"/>
                <w:szCs w:val="22"/>
              </w:rPr>
              <w:t xml:space="preserve">when </w:t>
            </w:r>
            <w:r>
              <w:rPr>
                <w:rFonts w:ascii="Calibri" w:hAnsi="Calibri" w:cs="Calibri"/>
                <w:color w:val="000000"/>
                <w:sz w:val="22"/>
                <w:szCs w:val="22"/>
              </w:rPr>
              <w:t>health center staff</w:t>
            </w:r>
            <w:r w:rsidRPr="00E6671A">
              <w:rPr>
                <w:rFonts w:ascii="Calibri" w:hAnsi="Calibri" w:cs="Calibri"/>
                <w:color w:val="000000"/>
                <w:sz w:val="22"/>
                <w:szCs w:val="22"/>
              </w:rPr>
              <w:t xml:space="preserve"> speaks with patient about medical/dental/MH/</w:t>
            </w:r>
            <w:r>
              <w:rPr>
                <w:rFonts w:ascii="Calibri" w:hAnsi="Calibri" w:cs="Calibri"/>
                <w:color w:val="000000"/>
                <w:sz w:val="22"/>
                <w:szCs w:val="22"/>
              </w:rPr>
              <w:t>substance use</w:t>
            </w:r>
            <w:r w:rsidRPr="00E6671A">
              <w:rPr>
                <w:rFonts w:ascii="Calibri" w:hAnsi="Calibri" w:cs="Calibri"/>
                <w:color w:val="000000"/>
                <w:sz w:val="22"/>
                <w:szCs w:val="22"/>
              </w:rPr>
              <w:t xml:space="preserve"> </w:t>
            </w:r>
            <w:r>
              <w:rPr>
                <w:rFonts w:ascii="Calibri" w:hAnsi="Calibri" w:cs="Calibri"/>
                <w:color w:val="000000"/>
                <w:sz w:val="22"/>
                <w:szCs w:val="22"/>
              </w:rPr>
              <w:t xml:space="preserve">condition or medications </w:t>
            </w:r>
            <w:r w:rsidRPr="00B64CAE">
              <w:rPr>
                <w:rFonts w:ascii="Calibri" w:hAnsi="Calibri" w:cs="Calibri"/>
                <w:b/>
                <w:color w:val="000000"/>
                <w:sz w:val="22"/>
                <w:szCs w:val="22"/>
              </w:rPr>
              <w:t>AND</w:t>
            </w:r>
            <w:r>
              <w:rPr>
                <w:rFonts w:ascii="Calibri" w:hAnsi="Calibri" w:cs="Calibri"/>
                <w:color w:val="000000"/>
                <w:sz w:val="22"/>
                <w:szCs w:val="22"/>
              </w:rPr>
              <w:t xml:space="preserve"> </w:t>
            </w:r>
            <w:r w:rsidRPr="00E6671A">
              <w:rPr>
                <w:rFonts w:ascii="Calibri" w:hAnsi="Calibri" w:cs="Calibri"/>
                <w:color w:val="000000"/>
                <w:sz w:val="22"/>
                <w:szCs w:val="22"/>
              </w:rPr>
              <w:t>discusses or creates care plan</w:t>
            </w:r>
            <w:r>
              <w:rPr>
                <w:rFonts w:ascii="Calibri" w:hAnsi="Calibri" w:cs="Calibri"/>
                <w:color w:val="000000"/>
                <w:sz w:val="22"/>
                <w:szCs w:val="22"/>
              </w:rPr>
              <w:t xml:space="preserve"> </w:t>
            </w:r>
            <w:r w:rsidRPr="00E6671A">
              <w:rPr>
                <w:rFonts w:ascii="Calibri" w:hAnsi="Calibri" w:cs="Calibri"/>
                <w:b/>
                <w:color w:val="000000"/>
                <w:sz w:val="22"/>
                <w:szCs w:val="22"/>
              </w:rPr>
              <w:t>OR</w:t>
            </w:r>
            <w:r w:rsidRPr="00E6671A">
              <w:rPr>
                <w:rFonts w:ascii="Calibri" w:hAnsi="Calibri" w:cs="Calibri"/>
                <w:color w:val="000000"/>
                <w:sz w:val="22"/>
                <w:szCs w:val="22"/>
              </w:rPr>
              <w:t xml:space="preserve"> discusses treatment options</w:t>
            </w:r>
            <w:r>
              <w:rPr>
                <w:rFonts w:ascii="Calibri" w:hAnsi="Calibri" w:cs="Calibri"/>
                <w:color w:val="000000"/>
                <w:sz w:val="22"/>
                <w:szCs w:val="22"/>
              </w:rPr>
              <w:t xml:space="preserve"> </w:t>
            </w:r>
            <w:r w:rsidRPr="00E6671A">
              <w:rPr>
                <w:rFonts w:ascii="Calibri" w:hAnsi="Calibri" w:cs="Calibri"/>
                <w:b/>
                <w:color w:val="000000"/>
                <w:sz w:val="22"/>
                <w:szCs w:val="22"/>
              </w:rPr>
              <w:t>OR</w:t>
            </w:r>
            <w:r>
              <w:rPr>
                <w:rFonts w:ascii="Calibri" w:hAnsi="Calibri" w:cs="Calibri"/>
                <w:color w:val="000000"/>
                <w:sz w:val="22"/>
                <w:szCs w:val="22"/>
              </w:rPr>
              <w:t xml:space="preserve"> </w:t>
            </w:r>
            <w:r w:rsidRPr="00E6671A">
              <w:rPr>
                <w:rFonts w:ascii="Calibri" w:hAnsi="Calibri" w:cs="Calibri"/>
                <w:color w:val="000000"/>
                <w:sz w:val="22"/>
                <w:szCs w:val="22"/>
              </w:rPr>
              <w:t>discusses health promotion activit</w:t>
            </w:r>
            <w:r>
              <w:rPr>
                <w:rFonts w:ascii="Calibri" w:hAnsi="Calibri" w:cs="Calibri"/>
                <w:color w:val="000000"/>
                <w:sz w:val="22"/>
                <w:szCs w:val="22"/>
              </w:rPr>
              <w:t>i</w:t>
            </w:r>
            <w:r w:rsidRPr="00E6671A">
              <w:rPr>
                <w:rFonts w:ascii="Calibri" w:hAnsi="Calibri" w:cs="Calibri"/>
                <w:color w:val="000000"/>
                <w:sz w:val="22"/>
                <w:szCs w:val="22"/>
              </w:rPr>
              <w:t xml:space="preserve">es </w:t>
            </w:r>
          </w:p>
        </w:tc>
      </w:tr>
      <w:tr w:rsidR="007501FD" w:rsidRPr="00557658" w:rsidTr="00430F72">
        <w:trPr>
          <w:trHeight w:val="4721"/>
        </w:trPr>
        <w:tc>
          <w:tcPr>
            <w:tcW w:w="2070" w:type="dxa"/>
            <w:tcBorders>
              <w:top w:val="nil"/>
              <w:left w:val="single" w:sz="8" w:space="0" w:color="auto"/>
              <w:bottom w:val="single" w:sz="4" w:space="0" w:color="auto"/>
              <w:right w:val="single" w:sz="4" w:space="0" w:color="auto"/>
            </w:tcBorders>
            <w:shd w:val="clear" w:color="auto" w:fill="auto"/>
            <w:noWrap/>
            <w:vAlign w:val="bottom"/>
          </w:tcPr>
          <w:p w:rsidR="007501FD" w:rsidRPr="0024684E" w:rsidRDefault="007501FD" w:rsidP="0024684E">
            <w:pPr>
              <w:rPr>
                <w:rFonts w:ascii="Calibri" w:hAnsi="Calibri" w:cs="Calibri"/>
                <w:b/>
                <w:color w:val="000000"/>
                <w:sz w:val="22"/>
                <w:szCs w:val="22"/>
              </w:rPr>
            </w:pPr>
            <w:r w:rsidRPr="0024684E">
              <w:rPr>
                <w:rFonts w:ascii="Calibri" w:hAnsi="Calibri" w:cs="Calibri"/>
                <w:b/>
                <w:color w:val="000000"/>
                <w:sz w:val="22"/>
                <w:szCs w:val="22"/>
              </w:rPr>
              <w:lastRenderedPageBreak/>
              <w:t>Warm Hand-off (non-billable)</w:t>
            </w:r>
          </w:p>
        </w:tc>
        <w:tc>
          <w:tcPr>
            <w:tcW w:w="4760" w:type="dxa"/>
            <w:tcBorders>
              <w:top w:val="nil"/>
              <w:left w:val="nil"/>
              <w:bottom w:val="single" w:sz="4" w:space="0" w:color="auto"/>
              <w:right w:val="single" w:sz="4" w:space="0" w:color="auto"/>
            </w:tcBorders>
            <w:shd w:val="clear" w:color="auto" w:fill="auto"/>
            <w:noWrap/>
            <w:vAlign w:val="bottom"/>
          </w:tcPr>
          <w:p w:rsidR="007501FD" w:rsidRPr="00557658" w:rsidRDefault="007501FD" w:rsidP="00557658">
            <w:pPr>
              <w:jc w:val="right"/>
              <w:rPr>
                <w:rFonts w:ascii="Calibri" w:hAnsi="Calibri" w:cs="Calibri"/>
                <w:color w:val="000000"/>
                <w:sz w:val="22"/>
                <w:szCs w:val="22"/>
              </w:rPr>
            </w:pPr>
            <w:r>
              <w:rPr>
                <w:rFonts w:ascii="Calibri" w:hAnsi="Calibri" w:cs="Calibri"/>
                <w:color w:val="000000"/>
                <w:sz w:val="22"/>
                <w:szCs w:val="22"/>
              </w:rPr>
              <w:t>Primary care provider directly introduces the patient to the behavioral health, mental health, dental health, social worker, or substance use provider at the time of the medical visit</w:t>
            </w:r>
          </w:p>
        </w:tc>
        <w:tc>
          <w:tcPr>
            <w:tcW w:w="3711" w:type="dxa"/>
            <w:tcBorders>
              <w:top w:val="nil"/>
              <w:left w:val="nil"/>
              <w:bottom w:val="single" w:sz="4" w:space="0" w:color="auto"/>
              <w:right w:val="single" w:sz="8" w:space="0" w:color="auto"/>
            </w:tcBorders>
            <w:shd w:val="clear" w:color="auto" w:fill="auto"/>
            <w:noWrap/>
            <w:vAlign w:val="bottom"/>
          </w:tcPr>
          <w:p w:rsidR="007501FD" w:rsidRPr="00557658" w:rsidRDefault="007501FD" w:rsidP="009017EB">
            <w:pPr>
              <w:jc w:val="right"/>
              <w:rPr>
                <w:rFonts w:ascii="Calibri" w:hAnsi="Calibri" w:cs="Calibri"/>
                <w:color w:val="000000"/>
                <w:sz w:val="22"/>
                <w:szCs w:val="22"/>
              </w:rPr>
            </w:pPr>
            <w:r>
              <w:rPr>
                <w:rFonts w:ascii="Calibri" w:hAnsi="Calibri" w:cs="Calibri"/>
                <w:color w:val="000000"/>
                <w:sz w:val="22"/>
                <w:szCs w:val="22"/>
              </w:rPr>
              <w:t>Health center staff should open the patient’s health record and record this ET when patient is successfully accepted and services are provided as defined in the definition section</w:t>
            </w:r>
          </w:p>
        </w:tc>
      </w:tr>
      <w:tr w:rsidR="007501FD" w:rsidRPr="00557658" w:rsidTr="00430F72">
        <w:trPr>
          <w:trHeight w:val="324"/>
        </w:trPr>
        <w:tc>
          <w:tcPr>
            <w:tcW w:w="2070" w:type="dxa"/>
            <w:tcBorders>
              <w:top w:val="nil"/>
              <w:left w:val="single" w:sz="8" w:space="0" w:color="auto"/>
              <w:bottom w:val="single" w:sz="4" w:space="0" w:color="auto"/>
              <w:right w:val="single" w:sz="4" w:space="0" w:color="auto"/>
            </w:tcBorders>
            <w:shd w:val="clear" w:color="auto" w:fill="auto"/>
            <w:noWrap/>
            <w:vAlign w:val="bottom"/>
          </w:tcPr>
          <w:p w:rsidR="007501FD" w:rsidRPr="0024684E" w:rsidRDefault="007501FD" w:rsidP="0024684E">
            <w:pPr>
              <w:rPr>
                <w:rFonts w:ascii="Calibri" w:hAnsi="Calibri" w:cs="Calibri"/>
                <w:b/>
                <w:color w:val="000000"/>
                <w:sz w:val="22"/>
                <w:szCs w:val="22"/>
              </w:rPr>
            </w:pPr>
            <w:r w:rsidRPr="0024684E">
              <w:rPr>
                <w:rFonts w:ascii="Calibri" w:hAnsi="Calibri" w:cs="Calibri"/>
                <w:b/>
                <w:color w:val="000000"/>
                <w:sz w:val="22"/>
                <w:szCs w:val="22"/>
              </w:rPr>
              <w:t>Home Visit (non-billable)</w:t>
            </w:r>
          </w:p>
        </w:tc>
        <w:tc>
          <w:tcPr>
            <w:tcW w:w="4760" w:type="dxa"/>
            <w:tcBorders>
              <w:top w:val="nil"/>
              <w:left w:val="nil"/>
              <w:bottom w:val="single" w:sz="4" w:space="0" w:color="auto"/>
              <w:right w:val="single" w:sz="4" w:space="0" w:color="auto"/>
            </w:tcBorders>
            <w:shd w:val="clear" w:color="auto" w:fill="auto"/>
            <w:noWrap/>
            <w:vAlign w:val="bottom"/>
          </w:tcPr>
          <w:p w:rsidR="007501FD" w:rsidRDefault="007501FD" w:rsidP="00557658">
            <w:pPr>
              <w:jc w:val="right"/>
              <w:rPr>
                <w:rFonts w:ascii="Calibri" w:hAnsi="Calibri" w:cs="Calibri"/>
                <w:color w:val="000000"/>
                <w:sz w:val="22"/>
                <w:szCs w:val="22"/>
              </w:rPr>
            </w:pPr>
            <w:r>
              <w:rPr>
                <w:rFonts w:ascii="Calibri" w:hAnsi="Calibri" w:cs="Calibri"/>
                <w:color w:val="000000"/>
                <w:sz w:val="22"/>
                <w:szCs w:val="22"/>
              </w:rPr>
              <w:t>Health center staff visits the patient’s home for reasons unrelated to assessment, diagnosis, treatment, or Maternity Case Management. Non-billable home visits include but are not limited to:</w:t>
            </w:r>
          </w:p>
          <w:p w:rsidR="007501FD" w:rsidRPr="00557658" w:rsidRDefault="007501FD" w:rsidP="00E6671A">
            <w:pPr>
              <w:jc w:val="right"/>
              <w:rPr>
                <w:rFonts w:ascii="Calibri" w:hAnsi="Calibri" w:cs="Calibri"/>
                <w:color w:val="000000"/>
                <w:sz w:val="22"/>
                <w:szCs w:val="22"/>
              </w:rPr>
            </w:pPr>
            <w:r>
              <w:rPr>
                <w:rFonts w:ascii="Calibri" w:hAnsi="Calibri" w:cs="Calibri"/>
                <w:color w:val="000000"/>
                <w:sz w:val="22"/>
                <w:szCs w:val="22"/>
              </w:rPr>
              <w:t>A community health worker visiting patient’s residence to support the family, a parenting class, a clinical pharmacist visiting to assist with medication management and reconciliation</w:t>
            </w:r>
          </w:p>
        </w:tc>
        <w:tc>
          <w:tcPr>
            <w:tcW w:w="3711" w:type="dxa"/>
            <w:tcBorders>
              <w:top w:val="nil"/>
              <w:left w:val="nil"/>
              <w:bottom w:val="single" w:sz="4" w:space="0" w:color="auto"/>
              <w:right w:val="single" w:sz="8" w:space="0" w:color="auto"/>
            </w:tcBorders>
            <w:shd w:val="clear" w:color="auto" w:fill="auto"/>
            <w:noWrap/>
            <w:vAlign w:val="bottom"/>
          </w:tcPr>
          <w:p w:rsidR="007501FD" w:rsidRPr="00557658" w:rsidRDefault="007501FD" w:rsidP="00E6671A">
            <w:pPr>
              <w:jc w:val="right"/>
              <w:rPr>
                <w:rFonts w:ascii="Calibri" w:hAnsi="Calibri" w:cs="Calibri"/>
                <w:color w:val="000000"/>
                <w:sz w:val="22"/>
                <w:szCs w:val="22"/>
              </w:rPr>
            </w:pPr>
            <w:r>
              <w:rPr>
                <w:rFonts w:ascii="Calibri" w:hAnsi="Calibri" w:cs="Calibri"/>
                <w:color w:val="000000"/>
                <w:sz w:val="22"/>
                <w:szCs w:val="22"/>
              </w:rPr>
              <w:t>Health center staff should open the patient’s health record and record this ET upon completion of the home visit as defined in the definition section</w:t>
            </w:r>
          </w:p>
        </w:tc>
      </w:tr>
      <w:tr w:rsidR="007501FD" w:rsidRPr="00557658" w:rsidTr="00430F72">
        <w:trPr>
          <w:trHeight w:val="341"/>
        </w:trPr>
        <w:tc>
          <w:tcPr>
            <w:tcW w:w="2070" w:type="dxa"/>
            <w:tcBorders>
              <w:top w:val="nil"/>
              <w:left w:val="single" w:sz="8" w:space="0" w:color="auto"/>
              <w:bottom w:val="single" w:sz="4" w:space="0" w:color="auto"/>
              <w:right w:val="single" w:sz="4" w:space="0" w:color="auto"/>
            </w:tcBorders>
            <w:shd w:val="clear" w:color="auto" w:fill="auto"/>
            <w:noWrap/>
            <w:vAlign w:val="bottom"/>
          </w:tcPr>
          <w:p w:rsidR="007501FD" w:rsidRPr="0024684E" w:rsidRDefault="007501FD" w:rsidP="0024684E">
            <w:pPr>
              <w:rPr>
                <w:rFonts w:ascii="Calibri" w:hAnsi="Calibri" w:cs="Calibri"/>
                <w:b/>
                <w:color w:val="000000"/>
                <w:sz w:val="22"/>
                <w:szCs w:val="22"/>
              </w:rPr>
            </w:pPr>
            <w:r w:rsidRPr="0024684E">
              <w:rPr>
                <w:rFonts w:ascii="Calibri" w:hAnsi="Calibri" w:cs="Calibri"/>
                <w:b/>
                <w:color w:val="000000"/>
                <w:sz w:val="22"/>
                <w:szCs w:val="22"/>
              </w:rPr>
              <w:t xml:space="preserve">Coordinating Care: Clinical Follow-up and Transitions in Care Setting </w:t>
            </w:r>
          </w:p>
        </w:tc>
        <w:tc>
          <w:tcPr>
            <w:tcW w:w="4760" w:type="dxa"/>
            <w:tcBorders>
              <w:top w:val="nil"/>
              <w:left w:val="nil"/>
              <w:bottom w:val="single" w:sz="4" w:space="0" w:color="auto"/>
              <w:right w:val="single" w:sz="4" w:space="0" w:color="auto"/>
            </w:tcBorders>
            <w:shd w:val="clear" w:color="auto" w:fill="auto"/>
            <w:noWrap/>
            <w:vAlign w:val="bottom"/>
          </w:tcPr>
          <w:p w:rsidR="007501FD" w:rsidRDefault="007501FD" w:rsidP="00557658">
            <w:pPr>
              <w:jc w:val="right"/>
              <w:rPr>
                <w:rFonts w:ascii="Calibri" w:hAnsi="Calibri" w:cs="Calibri"/>
                <w:color w:val="000000"/>
                <w:sz w:val="22"/>
                <w:szCs w:val="22"/>
              </w:rPr>
            </w:pPr>
            <w:r>
              <w:rPr>
                <w:rFonts w:ascii="Calibri" w:hAnsi="Calibri" w:cs="Calibri"/>
                <w:color w:val="000000"/>
                <w:sz w:val="22"/>
                <w:szCs w:val="22"/>
              </w:rPr>
              <w:t>Health center staff speaks with patient (including family or representative) or speaks with another health professional regarding the patient’s recent care at an outside health organization (ER, hospital, long-term care facility, etc.) to:</w:t>
            </w:r>
          </w:p>
          <w:p w:rsidR="007501FD" w:rsidRDefault="007501FD" w:rsidP="007E16B9">
            <w:pPr>
              <w:numPr>
                <w:ilvl w:val="0"/>
                <w:numId w:val="20"/>
              </w:numPr>
              <w:jc w:val="right"/>
              <w:rPr>
                <w:rFonts w:ascii="Calibri" w:hAnsi="Calibri" w:cs="Calibri"/>
                <w:color w:val="000000"/>
                <w:sz w:val="22"/>
                <w:szCs w:val="22"/>
              </w:rPr>
            </w:pPr>
            <w:r>
              <w:rPr>
                <w:rFonts w:ascii="Calibri" w:hAnsi="Calibri" w:cs="Calibri"/>
                <w:color w:val="000000"/>
                <w:sz w:val="22"/>
                <w:szCs w:val="22"/>
              </w:rPr>
              <w:t>Arrange a follow-up visit at the health center or other ET, or</w:t>
            </w:r>
          </w:p>
          <w:p w:rsidR="007501FD" w:rsidRDefault="007501FD" w:rsidP="007E16B9">
            <w:pPr>
              <w:numPr>
                <w:ilvl w:val="0"/>
                <w:numId w:val="20"/>
              </w:numPr>
              <w:jc w:val="right"/>
              <w:rPr>
                <w:rFonts w:ascii="Calibri" w:hAnsi="Calibri" w:cs="Calibri"/>
                <w:color w:val="000000"/>
                <w:sz w:val="22"/>
                <w:szCs w:val="22"/>
              </w:rPr>
            </w:pPr>
            <w:r>
              <w:rPr>
                <w:rFonts w:ascii="Calibri" w:hAnsi="Calibri" w:cs="Calibri"/>
                <w:color w:val="000000"/>
                <w:sz w:val="22"/>
                <w:szCs w:val="22"/>
              </w:rPr>
              <w:t>Speaks with patient to update care plan and educate on preventive health measures, or</w:t>
            </w:r>
          </w:p>
          <w:p w:rsidR="007501FD" w:rsidRPr="00557658" w:rsidRDefault="007501FD" w:rsidP="00557658">
            <w:pPr>
              <w:jc w:val="right"/>
              <w:rPr>
                <w:rFonts w:ascii="Calibri" w:hAnsi="Calibri" w:cs="Calibri"/>
                <w:color w:val="000000"/>
                <w:sz w:val="22"/>
                <w:szCs w:val="22"/>
              </w:rPr>
            </w:pPr>
            <w:r>
              <w:rPr>
                <w:rFonts w:ascii="Calibri" w:hAnsi="Calibri" w:cs="Calibri"/>
                <w:color w:val="000000"/>
                <w:sz w:val="22"/>
                <w:szCs w:val="22"/>
              </w:rPr>
              <w:t>Assists patient with a transition in their care setting</w:t>
            </w:r>
          </w:p>
        </w:tc>
        <w:tc>
          <w:tcPr>
            <w:tcW w:w="3711" w:type="dxa"/>
            <w:tcBorders>
              <w:top w:val="nil"/>
              <w:left w:val="nil"/>
              <w:bottom w:val="single" w:sz="4" w:space="0" w:color="auto"/>
              <w:right w:val="single" w:sz="8" w:space="0" w:color="auto"/>
            </w:tcBorders>
            <w:shd w:val="clear" w:color="auto" w:fill="auto"/>
            <w:noWrap/>
            <w:vAlign w:val="bottom"/>
          </w:tcPr>
          <w:p w:rsidR="007501FD" w:rsidRPr="00557658" w:rsidRDefault="007501FD" w:rsidP="00557658">
            <w:pPr>
              <w:jc w:val="right"/>
              <w:rPr>
                <w:rFonts w:ascii="Calibri" w:hAnsi="Calibri" w:cs="Calibri"/>
                <w:color w:val="000000"/>
                <w:sz w:val="22"/>
                <w:szCs w:val="22"/>
              </w:rPr>
            </w:pPr>
            <w:r>
              <w:rPr>
                <w:rFonts w:ascii="Calibri" w:hAnsi="Calibri" w:cs="Calibri"/>
                <w:color w:val="000000"/>
                <w:sz w:val="22"/>
                <w:szCs w:val="22"/>
              </w:rPr>
              <w:t>Health center staff should open the patient’s health record and record this ET when they have verified the patient received or needs to receive health services from a different provider, and completed 1, 2, or 3 listed in the definition section.</w:t>
            </w:r>
          </w:p>
        </w:tc>
      </w:tr>
      <w:tr w:rsidR="007501FD" w:rsidRPr="00557658" w:rsidTr="00430F72">
        <w:trPr>
          <w:trHeight w:val="341"/>
        </w:trPr>
        <w:tc>
          <w:tcPr>
            <w:tcW w:w="2070" w:type="dxa"/>
            <w:tcBorders>
              <w:top w:val="nil"/>
              <w:left w:val="single" w:sz="8" w:space="0" w:color="auto"/>
              <w:bottom w:val="single" w:sz="4" w:space="0" w:color="auto"/>
              <w:right w:val="single" w:sz="4" w:space="0" w:color="auto"/>
            </w:tcBorders>
            <w:shd w:val="clear" w:color="auto" w:fill="auto"/>
            <w:noWrap/>
            <w:vAlign w:val="bottom"/>
          </w:tcPr>
          <w:p w:rsidR="007501FD" w:rsidRPr="0024684E" w:rsidRDefault="007501FD" w:rsidP="0024684E">
            <w:pPr>
              <w:rPr>
                <w:rFonts w:ascii="Calibri" w:hAnsi="Calibri" w:cs="Calibri"/>
                <w:b/>
                <w:color w:val="000000"/>
                <w:sz w:val="22"/>
                <w:szCs w:val="22"/>
              </w:rPr>
            </w:pPr>
            <w:r w:rsidRPr="0024684E">
              <w:rPr>
                <w:rFonts w:ascii="Calibri" w:hAnsi="Calibri" w:cs="Calibri"/>
                <w:b/>
                <w:color w:val="000000"/>
                <w:sz w:val="22"/>
                <w:szCs w:val="22"/>
              </w:rPr>
              <w:t>Coordinating Care: Dental</w:t>
            </w:r>
          </w:p>
        </w:tc>
        <w:tc>
          <w:tcPr>
            <w:tcW w:w="4760" w:type="dxa"/>
            <w:tcBorders>
              <w:top w:val="nil"/>
              <w:left w:val="nil"/>
              <w:bottom w:val="single" w:sz="4" w:space="0" w:color="auto"/>
              <w:right w:val="single" w:sz="4" w:space="0" w:color="auto"/>
            </w:tcBorders>
            <w:shd w:val="clear" w:color="auto" w:fill="auto"/>
            <w:noWrap/>
            <w:vAlign w:val="bottom"/>
          </w:tcPr>
          <w:p w:rsidR="007501FD" w:rsidRPr="00557658" w:rsidRDefault="007501FD" w:rsidP="00557658">
            <w:pPr>
              <w:jc w:val="right"/>
              <w:rPr>
                <w:rFonts w:ascii="Calibri" w:hAnsi="Calibri" w:cs="Calibri"/>
                <w:color w:val="000000"/>
                <w:sz w:val="22"/>
                <w:szCs w:val="22"/>
              </w:rPr>
            </w:pPr>
            <w:r>
              <w:rPr>
                <w:rFonts w:ascii="Calibri" w:hAnsi="Calibri" w:cs="Calibri"/>
                <w:color w:val="000000"/>
                <w:sz w:val="22"/>
                <w:szCs w:val="22"/>
              </w:rPr>
              <w:t xml:space="preserve">During primary care visit, patient and health center staff identify that patient has dental health care needs, and coordinates with dental professionals by assistance with dental appointment set-up or speaking directly with the dental provider regarding patient’s dental care needs </w:t>
            </w:r>
          </w:p>
        </w:tc>
        <w:tc>
          <w:tcPr>
            <w:tcW w:w="3711" w:type="dxa"/>
            <w:tcBorders>
              <w:top w:val="nil"/>
              <w:left w:val="nil"/>
              <w:bottom w:val="single" w:sz="4" w:space="0" w:color="auto"/>
              <w:right w:val="single" w:sz="8" w:space="0" w:color="auto"/>
            </w:tcBorders>
            <w:shd w:val="clear" w:color="auto" w:fill="auto"/>
            <w:noWrap/>
            <w:vAlign w:val="bottom"/>
          </w:tcPr>
          <w:p w:rsidR="007501FD" w:rsidRPr="00557658" w:rsidRDefault="007501FD" w:rsidP="00557658">
            <w:pPr>
              <w:jc w:val="right"/>
              <w:rPr>
                <w:rFonts w:ascii="Calibri" w:hAnsi="Calibri" w:cs="Calibri"/>
                <w:color w:val="000000"/>
                <w:sz w:val="22"/>
                <w:szCs w:val="22"/>
              </w:rPr>
            </w:pPr>
            <w:r>
              <w:rPr>
                <w:rFonts w:ascii="Calibri" w:hAnsi="Calibri" w:cs="Calibri"/>
                <w:color w:val="000000"/>
                <w:sz w:val="22"/>
                <w:szCs w:val="22"/>
              </w:rPr>
              <w:t>Health center staff should open the patient’s health record and record this ET when they have confirmed that the primary care provider set-up a dental appointment and/or had spoken with the dental provider</w:t>
            </w:r>
          </w:p>
        </w:tc>
      </w:tr>
      <w:tr w:rsidR="007501FD" w:rsidRPr="00557658" w:rsidTr="00430F72">
        <w:trPr>
          <w:trHeight w:val="324"/>
        </w:trPr>
        <w:tc>
          <w:tcPr>
            <w:tcW w:w="2070" w:type="dxa"/>
            <w:tcBorders>
              <w:top w:val="nil"/>
              <w:left w:val="single" w:sz="8" w:space="0" w:color="auto"/>
              <w:bottom w:val="single" w:sz="4" w:space="0" w:color="auto"/>
              <w:right w:val="single" w:sz="4" w:space="0" w:color="auto"/>
            </w:tcBorders>
            <w:shd w:val="clear" w:color="auto" w:fill="auto"/>
            <w:noWrap/>
            <w:vAlign w:val="bottom"/>
          </w:tcPr>
          <w:p w:rsidR="007501FD" w:rsidRPr="0024684E" w:rsidRDefault="007501FD" w:rsidP="0024684E">
            <w:pPr>
              <w:rPr>
                <w:rFonts w:ascii="Calibri" w:hAnsi="Calibri" w:cs="Calibri"/>
                <w:b/>
                <w:color w:val="000000"/>
                <w:sz w:val="22"/>
                <w:szCs w:val="22"/>
              </w:rPr>
            </w:pPr>
            <w:r w:rsidRPr="0024684E">
              <w:rPr>
                <w:rFonts w:ascii="Calibri" w:hAnsi="Calibri" w:cs="Calibri"/>
                <w:b/>
                <w:color w:val="000000"/>
                <w:sz w:val="22"/>
                <w:szCs w:val="22"/>
              </w:rPr>
              <w:t>Coordinating Care: Information Management</w:t>
            </w:r>
          </w:p>
        </w:tc>
        <w:tc>
          <w:tcPr>
            <w:tcW w:w="4760" w:type="dxa"/>
            <w:tcBorders>
              <w:top w:val="nil"/>
              <w:left w:val="nil"/>
              <w:bottom w:val="single" w:sz="4" w:space="0" w:color="auto"/>
              <w:right w:val="single" w:sz="4" w:space="0" w:color="auto"/>
            </w:tcBorders>
            <w:shd w:val="clear" w:color="auto" w:fill="auto"/>
            <w:noWrap/>
            <w:vAlign w:val="bottom"/>
          </w:tcPr>
          <w:p w:rsidR="007501FD" w:rsidRPr="00557658" w:rsidRDefault="007501FD" w:rsidP="007501FD">
            <w:pPr>
              <w:ind w:left="720"/>
              <w:jc w:val="right"/>
              <w:rPr>
                <w:rFonts w:ascii="Calibri" w:hAnsi="Calibri" w:cs="Calibri"/>
                <w:color w:val="000000"/>
                <w:sz w:val="22"/>
                <w:szCs w:val="22"/>
              </w:rPr>
            </w:pPr>
            <w:r>
              <w:rPr>
                <w:rFonts w:ascii="Calibri" w:hAnsi="Calibri" w:cs="Calibri"/>
                <w:color w:val="000000"/>
                <w:sz w:val="22"/>
                <w:szCs w:val="22"/>
              </w:rPr>
              <w:t>Health center staff exchanges patient health information with hospitals, mental health providers, specialty providers, dental providers, or any other health provider that is necessary to effectively coordinate and improve a patient’s health care and health outcomes</w:t>
            </w:r>
          </w:p>
        </w:tc>
        <w:tc>
          <w:tcPr>
            <w:tcW w:w="3711" w:type="dxa"/>
            <w:tcBorders>
              <w:top w:val="nil"/>
              <w:left w:val="nil"/>
              <w:bottom w:val="single" w:sz="4" w:space="0" w:color="auto"/>
              <w:right w:val="single" w:sz="8" w:space="0" w:color="auto"/>
            </w:tcBorders>
            <w:shd w:val="clear" w:color="auto" w:fill="auto"/>
            <w:noWrap/>
            <w:vAlign w:val="bottom"/>
          </w:tcPr>
          <w:p w:rsidR="007501FD" w:rsidRPr="00557658" w:rsidRDefault="007501FD" w:rsidP="00557658">
            <w:pPr>
              <w:jc w:val="right"/>
              <w:rPr>
                <w:rFonts w:ascii="Calibri" w:hAnsi="Calibri" w:cs="Calibri"/>
                <w:color w:val="000000"/>
                <w:sz w:val="22"/>
                <w:szCs w:val="22"/>
              </w:rPr>
            </w:pPr>
            <w:r>
              <w:rPr>
                <w:rFonts w:ascii="Calibri" w:hAnsi="Calibri" w:cs="Calibri"/>
                <w:color w:val="000000"/>
                <w:sz w:val="22"/>
                <w:szCs w:val="22"/>
              </w:rPr>
              <w:t xml:space="preserve">Health center staff should open the patient’s health record and record this ET when health center staff speaks with provider outside of the patient’s care team </w:t>
            </w:r>
            <w:r w:rsidRPr="006A493D">
              <w:rPr>
                <w:rFonts w:ascii="Calibri" w:hAnsi="Calibri" w:cs="Calibri"/>
                <w:b/>
                <w:color w:val="000000"/>
                <w:sz w:val="22"/>
                <w:szCs w:val="22"/>
              </w:rPr>
              <w:t>AND</w:t>
            </w:r>
            <w:r>
              <w:rPr>
                <w:rFonts w:ascii="Calibri" w:hAnsi="Calibri" w:cs="Calibri"/>
                <w:color w:val="000000"/>
                <w:sz w:val="22"/>
                <w:szCs w:val="22"/>
              </w:rPr>
              <w:t xml:space="preserve"> sends or receives pertinent health information for the patient</w:t>
            </w:r>
          </w:p>
        </w:tc>
      </w:tr>
      <w:tr w:rsidR="007501FD" w:rsidRPr="00557658" w:rsidTr="00430F72">
        <w:trPr>
          <w:trHeight w:val="324"/>
        </w:trPr>
        <w:tc>
          <w:tcPr>
            <w:tcW w:w="2070" w:type="dxa"/>
            <w:tcBorders>
              <w:top w:val="nil"/>
              <w:left w:val="single" w:sz="8" w:space="0" w:color="auto"/>
              <w:bottom w:val="single" w:sz="4" w:space="0" w:color="auto"/>
              <w:right w:val="single" w:sz="4" w:space="0" w:color="auto"/>
            </w:tcBorders>
            <w:shd w:val="clear" w:color="auto" w:fill="auto"/>
            <w:noWrap/>
            <w:vAlign w:val="bottom"/>
          </w:tcPr>
          <w:p w:rsidR="007501FD" w:rsidRPr="0024684E" w:rsidRDefault="007501FD" w:rsidP="0024684E">
            <w:pPr>
              <w:rPr>
                <w:rFonts w:ascii="Calibri" w:hAnsi="Calibri" w:cs="Calibri"/>
                <w:b/>
                <w:color w:val="000000"/>
                <w:sz w:val="22"/>
                <w:szCs w:val="22"/>
              </w:rPr>
            </w:pPr>
            <w:proofErr w:type="spellStart"/>
            <w:r w:rsidRPr="0024684E">
              <w:rPr>
                <w:rFonts w:ascii="Calibri" w:hAnsi="Calibri" w:cs="Calibri"/>
                <w:b/>
                <w:color w:val="000000"/>
                <w:sz w:val="22"/>
                <w:szCs w:val="22"/>
              </w:rPr>
              <w:t>Flowsheet</w:t>
            </w:r>
            <w:proofErr w:type="spellEnd"/>
          </w:p>
        </w:tc>
        <w:tc>
          <w:tcPr>
            <w:tcW w:w="4760" w:type="dxa"/>
            <w:tcBorders>
              <w:top w:val="nil"/>
              <w:left w:val="nil"/>
              <w:bottom w:val="single" w:sz="4" w:space="0" w:color="auto"/>
              <w:right w:val="single" w:sz="4" w:space="0" w:color="auto"/>
            </w:tcBorders>
            <w:shd w:val="clear" w:color="auto" w:fill="auto"/>
            <w:noWrap/>
            <w:vAlign w:val="bottom"/>
          </w:tcPr>
          <w:p w:rsidR="007501FD" w:rsidRPr="00557658" w:rsidRDefault="007501FD" w:rsidP="00557658">
            <w:pPr>
              <w:jc w:val="right"/>
              <w:rPr>
                <w:rFonts w:ascii="Calibri" w:hAnsi="Calibri" w:cs="Calibri"/>
                <w:color w:val="000000"/>
                <w:sz w:val="22"/>
                <w:szCs w:val="22"/>
              </w:rPr>
            </w:pPr>
            <w:r>
              <w:rPr>
                <w:rFonts w:ascii="Calibri" w:hAnsi="Calibri" w:cs="Calibri"/>
                <w:color w:val="000000"/>
                <w:sz w:val="22"/>
                <w:szCs w:val="22"/>
              </w:rPr>
              <w:t xml:space="preserve">A document </w:t>
            </w:r>
            <w:proofErr w:type="spellStart"/>
            <w:r>
              <w:rPr>
                <w:rFonts w:ascii="Calibri" w:hAnsi="Calibri" w:cs="Calibri"/>
                <w:color w:val="000000"/>
                <w:sz w:val="22"/>
                <w:szCs w:val="22"/>
              </w:rPr>
              <w:t>flowsheet</w:t>
            </w:r>
            <w:proofErr w:type="spellEnd"/>
            <w:r>
              <w:rPr>
                <w:rFonts w:ascii="Calibri" w:hAnsi="Calibri" w:cs="Calibri"/>
                <w:color w:val="000000"/>
                <w:sz w:val="22"/>
                <w:szCs w:val="22"/>
              </w:rPr>
              <w:t xml:space="preserve"> based on various health screening responses that inform logical next steps (including SBIRT, GAD 7, Ages &amp; Stages, Edinburgh Postnatal Depression, and PHQ9 screenings) </w:t>
            </w:r>
          </w:p>
        </w:tc>
        <w:tc>
          <w:tcPr>
            <w:tcW w:w="3711" w:type="dxa"/>
            <w:tcBorders>
              <w:top w:val="nil"/>
              <w:left w:val="nil"/>
              <w:bottom w:val="single" w:sz="4" w:space="0" w:color="auto"/>
              <w:right w:val="single" w:sz="8" w:space="0" w:color="auto"/>
            </w:tcBorders>
            <w:shd w:val="clear" w:color="auto" w:fill="auto"/>
            <w:noWrap/>
            <w:vAlign w:val="bottom"/>
          </w:tcPr>
          <w:p w:rsidR="007501FD" w:rsidRPr="00557658" w:rsidRDefault="007501FD" w:rsidP="00557658">
            <w:pPr>
              <w:jc w:val="right"/>
              <w:rPr>
                <w:rFonts w:ascii="Calibri" w:hAnsi="Calibri" w:cs="Calibri"/>
                <w:color w:val="000000"/>
                <w:sz w:val="22"/>
                <w:szCs w:val="22"/>
              </w:rPr>
            </w:pPr>
            <w:r>
              <w:rPr>
                <w:rFonts w:ascii="Calibri" w:hAnsi="Calibri" w:cs="Calibri"/>
                <w:color w:val="000000"/>
                <w:sz w:val="22"/>
                <w:szCs w:val="22"/>
              </w:rPr>
              <w:t>Health center staff should open the patient’s health record and record this ET when the screening has been completed</w:t>
            </w:r>
          </w:p>
        </w:tc>
      </w:tr>
      <w:tr w:rsidR="007501FD" w:rsidRPr="00557658" w:rsidTr="00430F72">
        <w:trPr>
          <w:trHeight w:val="324"/>
        </w:trPr>
        <w:tc>
          <w:tcPr>
            <w:tcW w:w="2070" w:type="dxa"/>
            <w:tcBorders>
              <w:top w:val="nil"/>
              <w:left w:val="single" w:sz="8" w:space="0" w:color="auto"/>
              <w:bottom w:val="single" w:sz="4" w:space="0" w:color="auto"/>
              <w:right w:val="single" w:sz="4" w:space="0" w:color="auto"/>
            </w:tcBorders>
            <w:shd w:val="clear" w:color="auto" w:fill="auto"/>
            <w:noWrap/>
            <w:vAlign w:val="bottom"/>
          </w:tcPr>
          <w:p w:rsidR="007501FD" w:rsidRPr="0024684E" w:rsidRDefault="007501FD" w:rsidP="0024684E">
            <w:pPr>
              <w:rPr>
                <w:rFonts w:ascii="Calibri" w:hAnsi="Calibri" w:cs="Calibri"/>
                <w:b/>
                <w:color w:val="000000"/>
                <w:sz w:val="22"/>
                <w:szCs w:val="22"/>
              </w:rPr>
            </w:pPr>
            <w:r w:rsidRPr="0024684E">
              <w:rPr>
                <w:rFonts w:ascii="Calibri" w:hAnsi="Calibri" w:cs="Calibri"/>
                <w:b/>
                <w:color w:val="000000"/>
                <w:sz w:val="22"/>
                <w:szCs w:val="22"/>
              </w:rPr>
              <w:t>Health Education Supportive Counseling</w:t>
            </w:r>
          </w:p>
        </w:tc>
        <w:tc>
          <w:tcPr>
            <w:tcW w:w="4760" w:type="dxa"/>
            <w:tcBorders>
              <w:top w:val="nil"/>
              <w:left w:val="nil"/>
              <w:bottom w:val="single" w:sz="4" w:space="0" w:color="auto"/>
              <w:right w:val="single" w:sz="4" w:space="0" w:color="auto"/>
            </w:tcBorders>
            <w:shd w:val="clear" w:color="auto" w:fill="auto"/>
            <w:noWrap/>
            <w:vAlign w:val="bottom"/>
          </w:tcPr>
          <w:p w:rsidR="007501FD" w:rsidRPr="00557658" w:rsidRDefault="007501FD" w:rsidP="00BA0739">
            <w:pPr>
              <w:jc w:val="right"/>
              <w:rPr>
                <w:rFonts w:ascii="Calibri" w:hAnsi="Calibri" w:cs="Calibri"/>
                <w:color w:val="000000"/>
                <w:sz w:val="22"/>
                <w:szCs w:val="22"/>
              </w:rPr>
            </w:pPr>
            <w:r>
              <w:rPr>
                <w:rFonts w:ascii="Calibri" w:hAnsi="Calibri" w:cs="Calibri"/>
                <w:color w:val="000000"/>
                <w:sz w:val="22"/>
                <w:szCs w:val="22"/>
              </w:rPr>
              <w:t>Services provided by a physician or other qualified health care professional for the purpose of promoting health and preventing illness or injury. Risk factor reduction services are used for persons with specific illness for which the counseling might otherwise be used as part of treatment. Preventive medicine counseling and risk factor reduction interventions will vary with age and should address such issues as family problems, diet and exercise, substance use, sexual practices, injury prevention, dental health, and diagnostic and laboratory test results available at the time of the encounter.  Behavior change interventions are for persons who have a behavior that is often considered an illness itself, such as tobacco use and addiction, substance abuse/misuse, or obesity. Behavior change services involve specific validated interventions of assessing readiness for change and barriers to change, advising a change in behavior, assisting by providing specific suggested actions and motivational counseling, and arranging for services and follow-up</w:t>
            </w:r>
          </w:p>
        </w:tc>
        <w:tc>
          <w:tcPr>
            <w:tcW w:w="3711" w:type="dxa"/>
            <w:tcBorders>
              <w:top w:val="nil"/>
              <w:left w:val="nil"/>
              <w:bottom w:val="single" w:sz="4" w:space="0" w:color="auto"/>
              <w:right w:val="single" w:sz="8" w:space="0" w:color="auto"/>
            </w:tcBorders>
            <w:shd w:val="clear" w:color="auto" w:fill="auto"/>
            <w:noWrap/>
            <w:vAlign w:val="bottom"/>
          </w:tcPr>
          <w:p w:rsidR="007501FD" w:rsidRPr="00557658" w:rsidRDefault="007501FD" w:rsidP="006A493D">
            <w:pPr>
              <w:jc w:val="right"/>
              <w:rPr>
                <w:rFonts w:ascii="Calibri" w:hAnsi="Calibri" w:cs="Calibri"/>
                <w:color w:val="000000"/>
                <w:sz w:val="22"/>
                <w:szCs w:val="22"/>
              </w:rPr>
            </w:pPr>
            <w:r>
              <w:rPr>
                <w:rFonts w:ascii="Calibri" w:hAnsi="Calibri" w:cs="Calibri"/>
                <w:color w:val="000000"/>
                <w:sz w:val="22"/>
                <w:szCs w:val="22"/>
              </w:rPr>
              <w:t xml:space="preserve">Health center staff should open the patient’s health record and record this ET when a member of the health center staff engages in the activities described in the definition. </w:t>
            </w:r>
          </w:p>
        </w:tc>
      </w:tr>
      <w:tr w:rsidR="007501FD" w:rsidRPr="00557658" w:rsidTr="00430F72">
        <w:trPr>
          <w:trHeight w:val="324"/>
        </w:trPr>
        <w:tc>
          <w:tcPr>
            <w:tcW w:w="2070" w:type="dxa"/>
            <w:tcBorders>
              <w:top w:val="nil"/>
              <w:left w:val="single" w:sz="8" w:space="0" w:color="auto"/>
              <w:bottom w:val="single" w:sz="4" w:space="0" w:color="auto"/>
              <w:right w:val="single" w:sz="4" w:space="0" w:color="auto"/>
            </w:tcBorders>
            <w:shd w:val="clear" w:color="auto" w:fill="auto"/>
            <w:noWrap/>
            <w:vAlign w:val="bottom"/>
          </w:tcPr>
          <w:p w:rsidR="007501FD" w:rsidRPr="0024684E" w:rsidRDefault="007501FD" w:rsidP="0024684E">
            <w:pPr>
              <w:rPr>
                <w:rFonts w:ascii="Calibri" w:hAnsi="Calibri" w:cs="Calibri"/>
                <w:b/>
                <w:color w:val="000000"/>
                <w:sz w:val="22"/>
                <w:szCs w:val="22"/>
              </w:rPr>
            </w:pPr>
            <w:r w:rsidRPr="0024684E">
              <w:rPr>
                <w:rFonts w:ascii="Calibri" w:hAnsi="Calibri" w:cs="Calibri"/>
                <w:b/>
                <w:color w:val="000000"/>
                <w:sz w:val="22"/>
                <w:szCs w:val="22"/>
              </w:rPr>
              <w:t>Panel Management Outreach</w:t>
            </w:r>
          </w:p>
        </w:tc>
        <w:tc>
          <w:tcPr>
            <w:tcW w:w="4760" w:type="dxa"/>
            <w:tcBorders>
              <w:top w:val="nil"/>
              <w:left w:val="nil"/>
              <w:bottom w:val="single" w:sz="4" w:space="0" w:color="auto"/>
              <w:right w:val="single" w:sz="4" w:space="0" w:color="auto"/>
            </w:tcBorders>
            <w:shd w:val="clear" w:color="auto" w:fill="auto"/>
            <w:noWrap/>
            <w:vAlign w:val="bottom"/>
          </w:tcPr>
          <w:p w:rsidR="007501FD" w:rsidRPr="00557658" w:rsidRDefault="007501FD" w:rsidP="00557658">
            <w:pPr>
              <w:jc w:val="right"/>
              <w:rPr>
                <w:rFonts w:ascii="Calibri" w:hAnsi="Calibri" w:cs="Calibri"/>
                <w:color w:val="000000"/>
                <w:sz w:val="22"/>
                <w:szCs w:val="22"/>
              </w:rPr>
            </w:pPr>
            <w:r>
              <w:rPr>
                <w:rFonts w:ascii="Calibri" w:hAnsi="Calibri" w:cs="Calibri"/>
                <w:color w:val="000000"/>
                <w:sz w:val="22"/>
                <w:szCs w:val="22"/>
              </w:rPr>
              <w:t xml:space="preserve">Health center staff uses dedicated time to direct proactive care for their empaneled patients, uses staff support to conduct outreach, and leverages new panel-based information technology tools. </w:t>
            </w:r>
          </w:p>
        </w:tc>
        <w:tc>
          <w:tcPr>
            <w:tcW w:w="3711" w:type="dxa"/>
            <w:tcBorders>
              <w:top w:val="nil"/>
              <w:left w:val="nil"/>
              <w:bottom w:val="single" w:sz="4" w:space="0" w:color="auto"/>
              <w:right w:val="single" w:sz="8" w:space="0" w:color="auto"/>
            </w:tcBorders>
            <w:shd w:val="clear" w:color="auto" w:fill="auto"/>
            <w:noWrap/>
            <w:vAlign w:val="bottom"/>
          </w:tcPr>
          <w:p w:rsidR="00DB4F44" w:rsidRPr="00DB4F44" w:rsidRDefault="00DB4F44" w:rsidP="00DB4F44">
            <w:pPr>
              <w:jc w:val="right"/>
              <w:rPr>
                <w:rFonts w:ascii="Calibri" w:hAnsi="Calibri" w:cs="Calibri"/>
                <w:color w:val="000000"/>
                <w:sz w:val="22"/>
                <w:szCs w:val="22"/>
              </w:rPr>
            </w:pPr>
            <w:r w:rsidRPr="00DB4F44">
              <w:rPr>
                <w:rFonts w:ascii="Calibri" w:hAnsi="Calibri" w:cs="Calibri"/>
                <w:color w:val="000000"/>
                <w:sz w:val="22"/>
                <w:szCs w:val="22"/>
              </w:rPr>
              <w:t xml:space="preserve">Health center staff should record this ET when staff </w:t>
            </w:r>
            <w:r w:rsidRPr="00DB4F44">
              <w:rPr>
                <w:rFonts w:ascii="Calibri" w:hAnsi="Calibri" w:cs="Calibri"/>
                <w:color w:val="000000"/>
                <w:sz w:val="22"/>
                <w:szCs w:val="22"/>
                <w:u w:val="single"/>
              </w:rPr>
              <w:t>proactively</w:t>
            </w:r>
            <w:r w:rsidRPr="00DB4F44">
              <w:rPr>
                <w:rFonts w:ascii="Calibri" w:hAnsi="Calibri" w:cs="Calibri"/>
                <w:color w:val="000000"/>
                <w:sz w:val="22"/>
                <w:szCs w:val="22"/>
              </w:rPr>
              <w:t xml:space="preserve"> determine patient’s gaps in care </w:t>
            </w:r>
            <w:r w:rsidRPr="00DB4F44">
              <w:rPr>
                <w:rFonts w:ascii="Calibri" w:hAnsi="Calibri" w:cs="Calibri"/>
                <w:b/>
                <w:color w:val="000000"/>
                <w:sz w:val="22"/>
                <w:szCs w:val="22"/>
              </w:rPr>
              <w:t>AND</w:t>
            </w:r>
            <w:r w:rsidR="00AE1BDF">
              <w:rPr>
                <w:rFonts w:ascii="Calibri" w:hAnsi="Calibri" w:cs="Calibri"/>
                <w:color w:val="000000"/>
                <w:sz w:val="22"/>
                <w:szCs w:val="22"/>
              </w:rPr>
              <w:t xml:space="preserve"> reach out </w:t>
            </w:r>
            <w:r w:rsidRPr="00DB4F44">
              <w:rPr>
                <w:rFonts w:ascii="Calibri" w:hAnsi="Calibri" w:cs="Calibri"/>
                <w:color w:val="000000"/>
                <w:sz w:val="22"/>
                <w:szCs w:val="22"/>
              </w:rPr>
              <w:t>to the patient/family/representative/external provider regarding preventive services, chronic illness management, their care plan, problem list, health goals, and/or treatment options. Outreach efforts must be specific to patient’s gaps in care.</w:t>
            </w:r>
          </w:p>
          <w:p w:rsidR="007501FD" w:rsidRPr="00557658" w:rsidRDefault="007501FD" w:rsidP="00700772">
            <w:pPr>
              <w:jc w:val="right"/>
              <w:rPr>
                <w:rFonts w:ascii="Calibri" w:hAnsi="Calibri" w:cs="Calibri"/>
                <w:color w:val="000000"/>
                <w:sz w:val="22"/>
                <w:szCs w:val="22"/>
              </w:rPr>
            </w:pPr>
          </w:p>
        </w:tc>
      </w:tr>
      <w:tr w:rsidR="007501FD" w:rsidRPr="00557658" w:rsidTr="00430F72">
        <w:trPr>
          <w:trHeight w:val="341"/>
        </w:trPr>
        <w:tc>
          <w:tcPr>
            <w:tcW w:w="2070" w:type="dxa"/>
            <w:tcBorders>
              <w:top w:val="nil"/>
              <w:left w:val="single" w:sz="8" w:space="0" w:color="auto"/>
              <w:bottom w:val="single" w:sz="4" w:space="0" w:color="auto"/>
              <w:right w:val="single" w:sz="4" w:space="0" w:color="auto"/>
            </w:tcBorders>
            <w:shd w:val="clear" w:color="auto" w:fill="auto"/>
            <w:noWrap/>
            <w:vAlign w:val="bottom"/>
          </w:tcPr>
          <w:p w:rsidR="007501FD" w:rsidRPr="0024684E" w:rsidRDefault="007501FD" w:rsidP="0024684E">
            <w:pPr>
              <w:rPr>
                <w:rFonts w:ascii="Calibri" w:hAnsi="Calibri" w:cs="Calibri"/>
                <w:b/>
                <w:color w:val="000000"/>
                <w:sz w:val="22"/>
                <w:szCs w:val="22"/>
              </w:rPr>
            </w:pPr>
            <w:r w:rsidRPr="0024684E">
              <w:rPr>
                <w:rFonts w:ascii="Calibri" w:hAnsi="Calibri" w:cs="Calibri"/>
                <w:b/>
                <w:color w:val="000000"/>
                <w:sz w:val="22"/>
                <w:szCs w:val="22"/>
              </w:rPr>
              <w:t>Transportation Assistance</w:t>
            </w:r>
          </w:p>
        </w:tc>
        <w:tc>
          <w:tcPr>
            <w:tcW w:w="4760" w:type="dxa"/>
            <w:tcBorders>
              <w:top w:val="nil"/>
              <w:left w:val="nil"/>
              <w:bottom w:val="single" w:sz="4" w:space="0" w:color="auto"/>
              <w:right w:val="single" w:sz="4" w:space="0" w:color="auto"/>
            </w:tcBorders>
            <w:shd w:val="clear" w:color="auto" w:fill="auto"/>
            <w:noWrap/>
            <w:vAlign w:val="bottom"/>
          </w:tcPr>
          <w:p w:rsidR="007501FD" w:rsidRPr="00557658" w:rsidRDefault="007501FD" w:rsidP="00557658">
            <w:pPr>
              <w:jc w:val="right"/>
              <w:rPr>
                <w:rFonts w:ascii="Calibri" w:hAnsi="Calibri" w:cs="Calibri"/>
                <w:color w:val="000000"/>
                <w:sz w:val="22"/>
                <w:szCs w:val="22"/>
              </w:rPr>
            </w:pPr>
            <w:r>
              <w:rPr>
                <w:rFonts w:ascii="Calibri" w:hAnsi="Calibri" w:cs="Calibri"/>
                <w:color w:val="000000"/>
                <w:sz w:val="22"/>
                <w:szCs w:val="22"/>
              </w:rPr>
              <w:t xml:space="preserve">Health center provides direct assistance to a patient by a staff member or contractor in which access barriers are reduced for a patient through transportation resources and services </w:t>
            </w:r>
          </w:p>
        </w:tc>
        <w:tc>
          <w:tcPr>
            <w:tcW w:w="3711" w:type="dxa"/>
            <w:tcBorders>
              <w:top w:val="nil"/>
              <w:left w:val="nil"/>
              <w:bottom w:val="single" w:sz="4" w:space="0" w:color="auto"/>
              <w:right w:val="single" w:sz="8" w:space="0" w:color="auto"/>
            </w:tcBorders>
            <w:shd w:val="clear" w:color="auto" w:fill="auto"/>
            <w:noWrap/>
            <w:vAlign w:val="bottom"/>
          </w:tcPr>
          <w:p w:rsidR="007501FD" w:rsidRPr="00557658" w:rsidRDefault="007501FD" w:rsidP="007325AE">
            <w:pPr>
              <w:jc w:val="right"/>
              <w:rPr>
                <w:rFonts w:ascii="Calibri" w:hAnsi="Calibri" w:cs="Calibri"/>
                <w:color w:val="000000"/>
                <w:sz w:val="22"/>
                <w:szCs w:val="22"/>
              </w:rPr>
            </w:pPr>
            <w:r>
              <w:rPr>
                <w:rFonts w:ascii="Calibri" w:hAnsi="Calibri" w:cs="Calibri"/>
                <w:color w:val="000000"/>
                <w:sz w:val="22"/>
                <w:szCs w:val="22"/>
              </w:rPr>
              <w:t xml:space="preserve">Health center staff should open the patient’s health record and record this ET after staff identify patient has an access barrier in the realm of transportation </w:t>
            </w:r>
            <w:r w:rsidRPr="00DC7ABC">
              <w:rPr>
                <w:rFonts w:ascii="Calibri" w:hAnsi="Calibri" w:cs="Calibri"/>
                <w:b/>
                <w:color w:val="000000"/>
                <w:sz w:val="22"/>
                <w:szCs w:val="22"/>
              </w:rPr>
              <w:t>AND</w:t>
            </w:r>
            <w:r>
              <w:rPr>
                <w:rFonts w:ascii="Calibri" w:hAnsi="Calibri" w:cs="Calibri"/>
                <w:b/>
                <w:color w:val="000000"/>
                <w:sz w:val="22"/>
                <w:szCs w:val="22"/>
              </w:rPr>
              <w:t xml:space="preserve"> </w:t>
            </w:r>
            <w:r>
              <w:rPr>
                <w:rFonts w:ascii="Calibri" w:hAnsi="Calibri" w:cs="Calibri"/>
                <w:color w:val="000000"/>
                <w:sz w:val="22"/>
                <w:szCs w:val="22"/>
              </w:rPr>
              <w:t>delivers the resource/service that will reduce the transportation barrier</w:t>
            </w:r>
            <w:r>
              <w:rPr>
                <w:rFonts w:ascii="Calibri" w:hAnsi="Calibri" w:cs="Calibri"/>
                <w:b/>
                <w:color w:val="000000"/>
                <w:sz w:val="22"/>
                <w:szCs w:val="22"/>
              </w:rPr>
              <w:t xml:space="preserve"> </w:t>
            </w:r>
          </w:p>
        </w:tc>
      </w:tr>
      <w:tr w:rsidR="00430F72" w:rsidRPr="00557658" w:rsidTr="00430F72">
        <w:trPr>
          <w:trHeight w:val="341"/>
        </w:trPr>
        <w:tc>
          <w:tcPr>
            <w:tcW w:w="2070" w:type="dxa"/>
            <w:tcBorders>
              <w:top w:val="nil"/>
              <w:left w:val="single" w:sz="8" w:space="0" w:color="auto"/>
              <w:bottom w:val="single" w:sz="4" w:space="0" w:color="auto"/>
              <w:right w:val="single" w:sz="4" w:space="0" w:color="auto"/>
            </w:tcBorders>
            <w:shd w:val="clear" w:color="auto" w:fill="auto"/>
            <w:noWrap/>
            <w:vAlign w:val="bottom"/>
          </w:tcPr>
          <w:p w:rsidR="00430F72" w:rsidRPr="0024684E" w:rsidRDefault="00430F72" w:rsidP="00511FE8">
            <w:pPr>
              <w:rPr>
                <w:rFonts w:ascii="Calibri" w:hAnsi="Calibri" w:cs="Calibri"/>
                <w:b/>
                <w:color w:val="000000"/>
                <w:sz w:val="22"/>
                <w:szCs w:val="22"/>
              </w:rPr>
            </w:pPr>
            <w:r w:rsidRPr="0024684E">
              <w:rPr>
                <w:rFonts w:ascii="Calibri" w:hAnsi="Calibri" w:cs="Calibri"/>
                <w:b/>
                <w:color w:val="000000"/>
                <w:sz w:val="22"/>
                <w:szCs w:val="22"/>
              </w:rPr>
              <w:t>Home Care Visit Encounter</w:t>
            </w:r>
          </w:p>
        </w:tc>
        <w:tc>
          <w:tcPr>
            <w:tcW w:w="4760" w:type="dxa"/>
            <w:tcBorders>
              <w:top w:val="nil"/>
              <w:left w:val="nil"/>
              <w:bottom w:val="single" w:sz="4" w:space="0" w:color="auto"/>
              <w:right w:val="single" w:sz="4" w:space="0" w:color="auto"/>
            </w:tcBorders>
            <w:shd w:val="clear" w:color="auto" w:fill="auto"/>
            <w:noWrap/>
            <w:vAlign w:val="bottom"/>
          </w:tcPr>
          <w:p w:rsidR="00430F72" w:rsidRPr="00557658" w:rsidRDefault="00430F72" w:rsidP="00511FE8">
            <w:pPr>
              <w:jc w:val="right"/>
              <w:rPr>
                <w:rFonts w:ascii="Calibri" w:hAnsi="Calibri" w:cs="Calibri"/>
                <w:color w:val="000000"/>
                <w:sz w:val="22"/>
                <w:szCs w:val="22"/>
              </w:rPr>
            </w:pPr>
            <w:r w:rsidRPr="00037AD1">
              <w:rPr>
                <w:rFonts w:ascii="Calibri" w:hAnsi="Calibri" w:cs="Calibri"/>
                <w:color w:val="000000"/>
                <w:sz w:val="22"/>
                <w:szCs w:val="22"/>
              </w:rPr>
              <w:t>The Division considers a home visit for assessment, diagnosis, treatment or MCM as an encounter</w:t>
            </w:r>
          </w:p>
        </w:tc>
        <w:tc>
          <w:tcPr>
            <w:tcW w:w="3711" w:type="dxa"/>
            <w:tcBorders>
              <w:top w:val="nil"/>
              <w:left w:val="nil"/>
              <w:bottom w:val="single" w:sz="4" w:space="0" w:color="auto"/>
              <w:right w:val="single" w:sz="8" w:space="0" w:color="auto"/>
            </w:tcBorders>
            <w:shd w:val="clear" w:color="auto" w:fill="auto"/>
            <w:noWrap/>
            <w:vAlign w:val="bottom"/>
          </w:tcPr>
          <w:p w:rsidR="00430F72" w:rsidRPr="00557658" w:rsidRDefault="00430F72" w:rsidP="00511FE8">
            <w:pPr>
              <w:jc w:val="right"/>
              <w:rPr>
                <w:rFonts w:ascii="Calibri" w:hAnsi="Calibri" w:cs="Calibri"/>
                <w:color w:val="000000"/>
                <w:sz w:val="22"/>
                <w:szCs w:val="22"/>
              </w:rPr>
            </w:pPr>
            <w:r>
              <w:rPr>
                <w:rFonts w:ascii="Calibri" w:hAnsi="Calibri" w:cs="Calibri"/>
                <w:color w:val="000000"/>
                <w:sz w:val="22"/>
                <w:szCs w:val="22"/>
              </w:rPr>
              <w:t>Health center staff should open the patient’s health record and record this ET when they visited a patient’s residence or facility for assessment, diagnosis, treatment, or Maternity Case Management.</w:t>
            </w:r>
          </w:p>
        </w:tc>
      </w:tr>
      <w:tr w:rsidR="00430F72" w:rsidRPr="00557658" w:rsidTr="00430F72">
        <w:trPr>
          <w:trHeight w:val="341"/>
        </w:trPr>
        <w:tc>
          <w:tcPr>
            <w:tcW w:w="2070" w:type="dxa"/>
            <w:tcBorders>
              <w:top w:val="nil"/>
              <w:left w:val="single" w:sz="8" w:space="0" w:color="auto"/>
              <w:bottom w:val="single" w:sz="4" w:space="0" w:color="auto"/>
              <w:right w:val="single" w:sz="4" w:space="0" w:color="auto"/>
            </w:tcBorders>
            <w:shd w:val="clear" w:color="auto" w:fill="auto"/>
            <w:noWrap/>
            <w:vAlign w:val="bottom"/>
          </w:tcPr>
          <w:p w:rsidR="00430F72" w:rsidRPr="0024684E" w:rsidRDefault="00430F72" w:rsidP="00511FE8">
            <w:pPr>
              <w:rPr>
                <w:rFonts w:ascii="Calibri" w:hAnsi="Calibri" w:cs="Calibri"/>
                <w:b/>
                <w:color w:val="000000"/>
                <w:sz w:val="22"/>
                <w:szCs w:val="22"/>
              </w:rPr>
            </w:pPr>
            <w:r w:rsidRPr="0024684E">
              <w:rPr>
                <w:rFonts w:ascii="Calibri" w:hAnsi="Calibri" w:cs="Calibri"/>
                <w:b/>
                <w:color w:val="000000"/>
                <w:sz w:val="22"/>
                <w:szCs w:val="22"/>
              </w:rPr>
              <w:t>Telemedicine Encounter</w:t>
            </w:r>
          </w:p>
        </w:tc>
        <w:tc>
          <w:tcPr>
            <w:tcW w:w="4760" w:type="dxa"/>
            <w:tcBorders>
              <w:top w:val="nil"/>
              <w:left w:val="nil"/>
              <w:bottom w:val="single" w:sz="4" w:space="0" w:color="auto"/>
              <w:right w:val="single" w:sz="4" w:space="0" w:color="auto"/>
            </w:tcBorders>
            <w:shd w:val="clear" w:color="auto" w:fill="auto"/>
            <w:noWrap/>
            <w:vAlign w:val="bottom"/>
          </w:tcPr>
          <w:p w:rsidR="00430F72" w:rsidRPr="00557658" w:rsidRDefault="00430F72" w:rsidP="00511FE8">
            <w:pPr>
              <w:jc w:val="right"/>
              <w:rPr>
                <w:rFonts w:ascii="Calibri" w:hAnsi="Calibri" w:cs="Calibri"/>
                <w:color w:val="000000"/>
                <w:sz w:val="22"/>
                <w:szCs w:val="22"/>
              </w:rPr>
            </w:pPr>
            <w:r>
              <w:rPr>
                <w:rFonts w:ascii="Calibri" w:hAnsi="Calibri" w:cs="Calibri"/>
                <w:color w:val="000000"/>
                <w:sz w:val="22"/>
                <w:szCs w:val="22"/>
              </w:rPr>
              <w:t>T</w:t>
            </w:r>
            <w:r w:rsidRPr="00E83146">
              <w:rPr>
                <w:rFonts w:ascii="Calibri" w:hAnsi="Calibri" w:cs="Calibri"/>
                <w:color w:val="000000"/>
                <w:sz w:val="22"/>
                <w:szCs w:val="22"/>
              </w:rPr>
              <w:t>he use of telephoni</w:t>
            </w:r>
            <w:r>
              <w:rPr>
                <w:rFonts w:ascii="Calibri" w:hAnsi="Calibri" w:cs="Calibri"/>
                <w:color w:val="000000"/>
                <w:sz w:val="22"/>
                <w:szCs w:val="22"/>
              </w:rPr>
              <w:t xml:space="preserve">c or electronic communications </w:t>
            </w:r>
            <w:r w:rsidRPr="00E83146">
              <w:rPr>
                <w:rFonts w:ascii="Calibri" w:hAnsi="Calibri" w:cs="Calibri"/>
                <w:color w:val="000000"/>
                <w:sz w:val="22"/>
                <w:szCs w:val="22"/>
              </w:rPr>
              <w:t>o</w:t>
            </w:r>
            <w:r>
              <w:rPr>
                <w:rFonts w:ascii="Calibri" w:hAnsi="Calibri" w:cs="Calibri"/>
                <w:color w:val="000000"/>
                <w:sz w:val="22"/>
                <w:szCs w:val="22"/>
              </w:rPr>
              <w:t>f</w:t>
            </w:r>
            <w:r w:rsidRPr="00E83146">
              <w:rPr>
                <w:rFonts w:ascii="Calibri" w:hAnsi="Calibri" w:cs="Calibri"/>
                <w:color w:val="000000"/>
                <w:sz w:val="22"/>
                <w:szCs w:val="22"/>
              </w:rPr>
              <w:t xml:space="preserve"> medical information from one site to another to improve a patient’s health status</w:t>
            </w:r>
            <w:r>
              <w:rPr>
                <w:rFonts w:ascii="Calibri" w:hAnsi="Calibri" w:cs="Calibri"/>
                <w:color w:val="000000"/>
                <w:sz w:val="22"/>
                <w:szCs w:val="22"/>
              </w:rPr>
              <w:t xml:space="preserve">. See OAR </w:t>
            </w:r>
            <w:r w:rsidRPr="00E83146">
              <w:rPr>
                <w:rFonts w:ascii="Calibri" w:hAnsi="Calibri" w:cs="Calibri"/>
                <w:color w:val="000000"/>
                <w:sz w:val="22"/>
                <w:szCs w:val="22"/>
              </w:rPr>
              <w:t>410-130-0610</w:t>
            </w:r>
          </w:p>
        </w:tc>
        <w:tc>
          <w:tcPr>
            <w:tcW w:w="3711" w:type="dxa"/>
            <w:tcBorders>
              <w:top w:val="nil"/>
              <w:left w:val="nil"/>
              <w:bottom w:val="single" w:sz="4" w:space="0" w:color="auto"/>
              <w:right w:val="single" w:sz="8" w:space="0" w:color="auto"/>
            </w:tcBorders>
            <w:shd w:val="clear" w:color="auto" w:fill="auto"/>
            <w:noWrap/>
            <w:vAlign w:val="bottom"/>
          </w:tcPr>
          <w:p w:rsidR="00430F72" w:rsidRDefault="00430F72" w:rsidP="00511FE8">
            <w:pPr>
              <w:jc w:val="right"/>
              <w:rPr>
                <w:rFonts w:ascii="Calibri" w:hAnsi="Calibri" w:cs="Calibri"/>
                <w:color w:val="000000"/>
                <w:sz w:val="22"/>
                <w:szCs w:val="22"/>
              </w:rPr>
            </w:pPr>
            <w:r>
              <w:rPr>
                <w:rFonts w:ascii="Calibri" w:hAnsi="Calibri" w:cs="Calibri"/>
                <w:color w:val="000000"/>
                <w:sz w:val="22"/>
                <w:szCs w:val="22"/>
              </w:rPr>
              <w:t xml:space="preserve">Health center staff should open the patient’s health record and record this ET when: </w:t>
            </w:r>
          </w:p>
          <w:p w:rsidR="00430F72" w:rsidRPr="009017EB" w:rsidRDefault="00430F72" w:rsidP="00511FE8">
            <w:pPr>
              <w:jc w:val="right"/>
              <w:rPr>
                <w:rFonts w:ascii="Calibri" w:hAnsi="Calibri" w:cs="Calibri"/>
                <w:color w:val="000000"/>
                <w:sz w:val="22"/>
                <w:szCs w:val="22"/>
              </w:rPr>
            </w:pPr>
            <w:r w:rsidRPr="009017EB">
              <w:rPr>
                <w:rFonts w:ascii="Calibri" w:hAnsi="Calibri" w:cs="Calibri"/>
                <w:color w:val="000000"/>
                <w:sz w:val="22"/>
                <w:szCs w:val="22"/>
              </w:rPr>
              <w:t>Patient consultations using videoconferencing, a synchronous (live two-way interactive) video transmission resulting in real time communication between a medical practitioner located in a distant site and the client being evaluated and</w:t>
            </w:r>
            <w:r>
              <w:rPr>
                <w:rFonts w:ascii="Calibri" w:hAnsi="Calibri" w:cs="Calibri"/>
                <w:color w:val="000000"/>
                <w:sz w:val="22"/>
                <w:szCs w:val="22"/>
              </w:rPr>
              <w:t xml:space="preserve"> located in an originating site</w:t>
            </w:r>
            <w:r w:rsidRPr="009017EB">
              <w:rPr>
                <w:rFonts w:ascii="Calibri" w:hAnsi="Calibri" w:cs="Calibri"/>
                <w:color w:val="000000"/>
                <w:sz w:val="22"/>
                <w:szCs w:val="22"/>
              </w:rPr>
              <w:t xml:space="preserve"> </w:t>
            </w:r>
            <w:r w:rsidRPr="00430F72">
              <w:rPr>
                <w:rFonts w:ascii="Calibri" w:hAnsi="Calibri" w:cs="Calibri"/>
                <w:b/>
                <w:color w:val="000000"/>
                <w:sz w:val="22"/>
                <w:szCs w:val="22"/>
              </w:rPr>
              <w:t>OR</w:t>
            </w:r>
            <w:r>
              <w:rPr>
                <w:rFonts w:ascii="Calibri" w:hAnsi="Calibri" w:cs="Calibri"/>
                <w:color w:val="000000"/>
                <w:sz w:val="22"/>
                <w:szCs w:val="22"/>
              </w:rPr>
              <w:t xml:space="preserve"> </w:t>
            </w:r>
            <w:r>
              <w:rPr>
                <w:rFonts w:ascii="Calibri" w:hAnsi="Calibri" w:cs="Calibri"/>
                <w:color w:val="000000"/>
                <w:sz w:val="22"/>
                <w:szCs w:val="22"/>
              </w:rPr>
              <w:t xml:space="preserve"> </w:t>
            </w:r>
            <w:r w:rsidRPr="009017EB">
              <w:rPr>
                <w:rFonts w:ascii="Calibri" w:hAnsi="Calibri" w:cs="Calibri"/>
                <w:color w:val="000000"/>
                <w:sz w:val="22"/>
                <w:szCs w:val="22"/>
              </w:rPr>
              <w:t xml:space="preserve">Telephonic codes may be used in lieu of videoconferencing codes, if videoconferencing equipment is not available. </w:t>
            </w:r>
          </w:p>
          <w:p w:rsidR="00430F72" w:rsidRPr="009017EB" w:rsidRDefault="00430F72" w:rsidP="00511FE8">
            <w:pPr>
              <w:jc w:val="right"/>
              <w:rPr>
                <w:rFonts w:ascii="Calibri" w:hAnsi="Calibri" w:cs="Calibri"/>
                <w:color w:val="000000"/>
                <w:sz w:val="22"/>
                <w:szCs w:val="22"/>
              </w:rPr>
            </w:pPr>
            <w:r w:rsidRPr="009017EB">
              <w:rPr>
                <w:rFonts w:ascii="Calibri" w:hAnsi="Calibri" w:cs="Calibri"/>
                <w:color w:val="000000"/>
                <w:sz w:val="22"/>
                <w:szCs w:val="22"/>
              </w:rPr>
              <w:t xml:space="preserve">(5) Telephone and E-mail billing requirements: Use the Evaluation and Management (E/M) code authorized in the HSC practice guideline, unless otherwise authorized in OAR 410-120-1200. </w:t>
            </w:r>
          </w:p>
          <w:p w:rsidR="00430F72" w:rsidRPr="00557658" w:rsidRDefault="00430F72" w:rsidP="00511FE8">
            <w:pPr>
              <w:jc w:val="right"/>
              <w:rPr>
                <w:rFonts w:ascii="Calibri" w:hAnsi="Calibri" w:cs="Calibri"/>
                <w:color w:val="000000"/>
                <w:sz w:val="22"/>
                <w:szCs w:val="22"/>
              </w:rPr>
            </w:pPr>
          </w:p>
        </w:tc>
      </w:tr>
    </w:tbl>
    <w:p w:rsidR="006055C5" w:rsidRDefault="006055C5" w:rsidP="00557658">
      <w:pPr>
        <w:rPr>
          <w:rFonts w:cs="Arial"/>
          <w:sz w:val="24"/>
          <w:szCs w:val="24"/>
        </w:rPr>
      </w:pPr>
    </w:p>
    <w:sectPr w:rsidR="006055C5" w:rsidSect="00BA4079">
      <w:headerReference w:type="default" r:id="rId10"/>
      <w:footerReference w:type="default" r:id="rId11"/>
      <w:pgSz w:w="12240" w:h="15840" w:code="1"/>
      <w:pgMar w:top="1440" w:right="1800" w:bottom="1440" w:left="180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F44" w:rsidRDefault="00DB4F44">
      <w:r>
        <w:separator/>
      </w:r>
    </w:p>
  </w:endnote>
  <w:endnote w:type="continuationSeparator" w:id="0">
    <w:p w:rsidR="00DB4F44" w:rsidRDefault="00DB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44" w:rsidRDefault="00DB4F44" w:rsidP="00B939FB">
    <w:pPr>
      <w:pStyle w:val="Footer"/>
      <w:pBdr>
        <w:top w:val="single" w:sz="8" w:space="1" w:color="auto"/>
      </w:pBdr>
      <w:rPr>
        <w:sz w:val="18"/>
        <w:szCs w:val="18"/>
      </w:rPr>
    </w:pPr>
    <w:r>
      <w:rPr>
        <w:sz w:val="18"/>
        <w:szCs w:val="18"/>
      </w:rPr>
      <w:t>Oregon FQHC APM Pilot</w:t>
    </w:r>
    <w:r w:rsidRPr="00DC1839">
      <w:rPr>
        <w:sz w:val="18"/>
        <w:szCs w:val="18"/>
      </w:rPr>
      <w:tab/>
      <w:t xml:space="preserve">Page </w:t>
    </w:r>
  </w:p>
  <w:p w:rsidR="00DB4F44" w:rsidRPr="00DC1839" w:rsidRDefault="00DB4F44" w:rsidP="00B939FB">
    <w:pPr>
      <w:pStyle w:val="Footer"/>
      <w:pBdr>
        <w:top w:val="single" w:sz="8" w:space="1" w:color="auto"/>
      </w:pBdr>
      <w:rPr>
        <w:sz w:val="18"/>
        <w:szCs w:val="18"/>
      </w:rPr>
    </w:pPr>
    <w:r w:rsidRPr="00DC1839">
      <w:rPr>
        <w:sz w:val="18"/>
        <w:szCs w:val="18"/>
      </w:rPr>
      <w:fldChar w:fldCharType="begin"/>
    </w:r>
    <w:r w:rsidRPr="00DC1839">
      <w:rPr>
        <w:sz w:val="18"/>
        <w:szCs w:val="18"/>
      </w:rPr>
      <w:instrText xml:space="preserve"> PAGE </w:instrText>
    </w:r>
    <w:r w:rsidRPr="00DC1839">
      <w:rPr>
        <w:sz w:val="18"/>
        <w:szCs w:val="18"/>
      </w:rPr>
      <w:fldChar w:fldCharType="separate"/>
    </w:r>
    <w:r w:rsidR="00430F72">
      <w:rPr>
        <w:noProof/>
        <w:sz w:val="18"/>
        <w:szCs w:val="18"/>
      </w:rPr>
      <w:t>2</w:t>
    </w:r>
    <w:r w:rsidRPr="00DC1839">
      <w:rPr>
        <w:sz w:val="18"/>
        <w:szCs w:val="18"/>
      </w:rPr>
      <w:fldChar w:fldCharType="end"/>
    </w:r>
    <w:r w:rsidRPr="00DC1839">
      <w:rPr>
        <w:sz w:val="18"/>
        <w:szCs w:val="18"/>
      </w:rPr>
      <w:tab/>
    </w:r>
    <w:r w:rsidRPr="00DC1839">
      <w:rPr>
        <w:sz w:val="18"/>
        <w:szCs w:val="18"/>
      </w:rPr>
      <w:fldChar w:fldCharType="begin"/>
    </w:r>
    <w:r w:rsidRPr="00DC1839">
      <w:rPr>
        <w:sz w:val="18"/>
        <w:szCs w:val="18"/>
      </w:rPr>
      <w:instrText xml:space="preserve"> DATE \@ "M/d/yyyy" </w:instrText>
    </w:r>
    <w:r w:rsidRPr="00DC1839">
      <w:rPr>
        <w:sz w:val="18"/>
        <w:szCs w:val="18"/>
      </w:rPr>
      <w:fldChar w:fldCharType="separate"/>
    </w:r>
    <w:r w:rsidR="00430F72">
      <w:rPr>
        <w:noProof/>
        <w:sz w:val="18"/>
        <w:szCs w:val="18"/>
      </w:rPr>
      <w:t>11/13/2014</w:t>
    </w:r>
    <w:r w:rsidRPr="00DC183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F44" w:rsidRDefault="00DB4F44">
      <w:r>
        <w:separator/>
      </w:r>
    </w:p>
  </w:footnote>
  <w:footnote w:type="continuationSeparator" w:id="0">
    <w:p w:rsidR="00DB4F44" w:rsidRDefault="00DB4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44" w:rsidRDefault="00DB4F44" w:rsidP="00B939FB">
    <w:pPr>
      <w:pStyle w:val="Header"/>
      <w:pBdr>
        <w:bottom w:val="single" w:sz="8" w:space="1" w:color="auto"/>
      </w:pBdr>
      <w:jc w:val="center"/>
      <w:rPr>
        <w:sz w:val="18"/>
        <w:szCs w:val="18"/>
      </w:rPr>
    </w:pPr>
    <w:r>
      <w:rPr>
        <w:sz w:val="18"/>
        <w:szCs w:val="18"/>
      </w:rPr>
      <w:t>APM Pilot – Engagement Touches</w:t>
    </w:r>
  </w:p>
  <w:p w:rsidR="00DB4F44" w:rsidRPr="00DC1839" w:rsidRDefault="00DB4F44" w:rsidP="00B939FB">
    <w:pPr>
      <w:pStyle w:val="Header"/>
      <w:pBdr>
        <w:bottom w:val="single" w:sz="8" w:space="1" w:color="auto"/>
      </w:pBdr>
      <w:jc w:val="center"/>
      <w:rPr>
        <w:sz w:val="18"/>
        <w:szCs w:val="18"/>
      </w:rPr>
    </w:pPr>
  </w:p>
  <w:p w:rsidR="00DB4F44" w:rsidRPr="00D0286D" w:rsidRDefault="00DB4F44" w:rsidP="00D0286D">
    <w:pPr>
      <w:pStyle w:val="Header"/>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52225"/>
    <w:multiLevelType w:val="hybridMultilevel"/>
    <w:tmpl w:val="2450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E761A"/>
    <w:multiLevelType w:val="hybridMultilevel"/>
    <w:tmpl w:val="4B8CA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A2881"/>
    <w:multiLevelType w:val="hybridMultilevel"/>
    <w:tmpl w:val="5DD66C9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60A5A9E"/>
    <w:multiLevelType w:val="hybridMultilevel"/>
    <w:tmpl w:val="502611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6F56351"/>
    <w:multiLevelType w:val="hybridMultilevel"/>
    <w:tmpl w:val="B936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022009"/>
    <w:multiLevelType w:val="hybridMultilevel"/>
    <w:tmpl w:val="0C34642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575D7C"/>
    <w:multiLevelType w:val="hybridMultilevel"/>
    <w:tmpl w:val="E1B43706"/>
    <w:lvl w:ilvl="0" w:tplc="C276C0B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B143FC"/>
    <w:multiLevelType w:val="hybridMultilevel"/>
    <w:tmpl w:val="D318C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59E313E1"/>
    <w:multiLevelType w:val="hybridMultilevel"/>
    <w:tmpl w:val="C2DAC00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2A51D85"/>
    <w:multiLevelType w:val="hybridMultilevel"/>
    <w:tmpl w:val="4042A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5F07B8"/>
    <w:multiLevelType w:val="hybridMultilevel"/>
    <w:tmpl w:val="B0704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A0F6A23"/>
    <w:multiLevelType w:val="hybridMultilevel"/>
    <w:tmpl w:val="186C5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9"/>
  </w:num>
  <w:num w:numId="4">
    <w:abstractNumId w:val="5"/>
  </w:num>
  <w:num w:numId="5">
    <w:abstractNumId w:val="3"/>
  </w:num>
  <w:num w:numId="6">
    <w:abstractNumId w:val="12"/>
  </w:num>
  <w:num w:numId="7">
    <w:abstractNumId w:val="11"/>
  </w:num>
  <w:num w:numId="8">
    <w:abstractNumId w:val="7"/>
  </w:num>
  <w:num w:numId="9">
    <w:abstractNumId w:val="10"/>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0"/>
  </w:num>
  <w:num w:numId="18">
    <w:abstractNumId w:val="4"/>
  </w:num>
  <w:num w:numId="19">
    <w:abstractNumId w:val="6"/>
  </w:num>
  <w:num w:numId="2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228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746C"/>
    <w:rsid w:val="00024C8E"/>
    <w:rsid w:val="000311A9"/>
    <w:rsid w:val="0003155D"/>
    <w:rsid w:val="00033DBD"/>
    <w:rsid w:val="00037AD1"/>
    <w:rsid w:val="00055369"/>
    <w:rsid w:val="00072483"/>
    <w:rsid w:val="00075D48"/>
    <w:rsid w:val="00076E9A"/>
    <w:rsid w:val="00077350"/>
    <w:rsid w:val="00077950"/>
    <w:rsid w:val="00093E8C"/>
    <w:rsid w:val="000A2CDE"/>
    <w:rsid w:val="000B2A3C"/>
    <w:rsid w:val="000C30CC"/>
    <w:rsid w:val="000D2631"/>
    <w:rsid w:val="000D40A2"/>
    <w:rsid w:val="000E2EEF"/>
    <w:rsid w:val="00116F0A"/>
    <w:rsid w:val="001252A7"/>
    <w:rsid w:val="0013642E"/>
    <w:rsid w:val="001569E8"/>
    <w:rsid w:val="00156C3C"/>
    <w:rsid w:val="00171821"/>
    <w:rsid w:val="001A2559"/>
    <w:rsid w:val="001C4D72"/>
    <w:rsid w:val="001D1D6C"/>
    <w:rsid w:val="001E6665"/>
    <w:rsid w:val="001F56BD"/>
    <w:rsid w:val="001F7C2E"/>
    <w:rsid w:val="00216E76"/>
    <w:rsid w:val="00217602"/>
    <w:rsid w:val="00230FBB"/>
    <w:rsid w:val="0024684E"/>
    <w:rsid w:val="00246AC2"/>
    <w:rsid w:val="00251F57"/>
    <w:rsid w:val="00263726"/>
    <w:rsid w:val="00265D51"/>
    <w:rsid w:val="00270403"/>
    <w:rsid w:val="002772CF"/>
    <w:rsid w:val="00283C1D"/>
    <w:rsid w:val="002855E8"/>
    <w:rsid w:val="002C4EAB"/>
    <w:rsid w:val="002D5392"/>
    <w:rsid w:val="002D57F2"/>
    <w:rsid w:val="00306E75"/>
    <w:rsid w:val="00307042"/>
    <w:rsid w:val="00322F56"/>
    <w:rsid w:val="00356B53"/>
    <w:rsid w:val="003750CB"/>
    <w:rsid w:val="00383E33"/>
    <w:rsid w:val="00386837"/>
    <w:rsid w:val="003A1498"/>
    <w:rsid w:val="003A1636"/>
    <w:rsid w:val="003B4F48"/>
    <w:rsid w:val="003C5458"/>
    <w:rsid w:val="003F4613"/>
    <w:rsid w:val="00417E2E"/>
    <w:rsid w:val="00424139"/>
    <w:rsid w:val="00430F72"/>
    <w:rsid w:val="00435758"/>
    <w:rsid w:val="00453E31"/>
    <w:rsid w:val="004617FC"/>
    <w:rsid w:val="004656E5"/>
    <w:rsid w:val="0048263F"/>
    <w:rsid w:val="00490341"/>
    <w:rsid w:val="004A050F"/>
    <w:rsid w:val="004A7483"/>
    <w:rsid w:val="004C2641"/>
    <w:rsid w:val="004C4A05"/>
    <w:rsid w:val="004C5C19"/>
    <w:rsid w:val="004F645A"/>
    <w:rsid w:val="004F6761"/>
    <w:rsid w:val="0051064D"/>
    <w:rsid w:val="005111D0"/>
    <w:rsid w:val="00520B4B"/>
    <w:rsid w:val="005272F4"/>
    <w:rsid w:val="0055645E"/>
    <w:rsid w:val="00557658"/>
    <w:rsid w:val="00575EE7"/>
    <w:rsid w:val="005866B3"/>
    <w:rsid w:val="005969B7"/>
    <w:rsid w:val="005A03F2"/>
    <w:rsid w:val="005A12C3"/>
    <w:rsid w:val="005D17E1"/>
    <w:rsid w:val="005E2126"/>
    <w:rsid w:val="006019C8"/>
    <w:rsid w:val="006055C5"/>
    <w:rsid w:val="00617A07"/>
    <w:rsid w:val="006240A1"/>
    <w:rsid w:val="00626C60"/>
    <w:rsid w:val="00627C30"/>
    <w:rsid w:val="006470E3"/>
    <w:rsid w:val="0069049A"/>
    <w:rsid w:val="006A493D"/>
    <w:rsid w:val="006D53EE"/>
    <w:rsid w:val="006E460E"/>
    <w:rsid w:val="006E68E0"/>
    <w:rsid w:val="006F03F5"/>
    <w:rsid w:val="006F630B"/>
    <w:rsid w:val="00700772"/>
    <w:rsid w:val="00711B3F"/>
    <w:rsid w:val="00724151"/>
    <w:rsid w:val="007325AE"/>
    <w:rsid w:val="007400EE"/>
    <w:rsid w:val="007459CC"/>
    <w:rsid w:val="007462B0"/>
    <w:rsid w:val="007501FD"/>
    <w:rsid w:val="00753386"/>
    <w:rsid w:val="00761842"/>
    <w:rsid w:val="00765F37"/>
    <w:rsid w:val="007845AF"/>
    <w:rsid w:val="007B661D"/>
    <w:rsid w:val="007E16B9"/>
    <w:rsid w:val="007F2EC4"/>
    <w:rsid w:val="008132E2"/>
    <w:rsid w:val="008152E8"/>
    <w:rsid w:val="00824E43"/>
    <w:rsid w:val="008276D9"/>
    <w:rsid w:val="00842713"/>
    <w:rsid w:val="0084514C"/>
    <w:rsid w:val="008465A8"/>
    <w:rsid w:val="00852753"/>
    <w:rsid w:val="00864225"/>
    <w:rsid w:val="008769EF"/>
    <w:rsid w:val="00883299"/>
    <w:rsid w:val="0088693C"/>
    <w:rsid w:val="0089088F"/>
    <w:rsid w:val="008954F5"/>
    <w:rsid w:val="008A098F"/>
    <w:rsid w:val="008A23C9"/>
    <w:rsid w:val="008A6712"/>
    <w:rsid w:val="008A73E6"/>
    <w:rsid w:val="008A74BA"/>
    <w:rsid w:val="008B00D9"/>
    <w:rsid w:val="008B5196"/>
    <w:rsid w:val="008C5BFE"/>
    <w:rsid w:val="008E1BD5"/>
    <w:rsid w:val="008E60A4"/>
    <w:rsid w:val="008E7A27"/>
    <w:rsid w:val="00901624"/>
    <w:rsid w:val="009017EB"/>
    <w:rsid w:val="0090571D"/>
    <w:rsid w:val="00912FD9"/>
    <w:rsid w:val="00915408"/>
    <w:rsid w:val="00915FB4"/>
    <w:rsid w:val="00921287"/>
    <w:rsid w:val="00940155"/>
    <w:rsid w:val="00960EE0"/>
    <w:rsid w:val="00971A0B"/>
    <w:rsid w:val="009767AE"/>
    <w:rsid w:val="00997E50"/>
    <w:rsid w:val="009A2B15"/>
    <w:rsid w:val="009A50B6"/>
    <w:rsid w:val="009A77D0"/>
    <w:rsid w:val="009D0637"/>
    <w:rsid w:val="009E0B38"/>
    <w:rsid w:val="009E2720"/>
    <w:rsid w:val="009F3A04"/>
    <w:rsid w:val="009F7553"/>
    <w:rsid w:val="00A142E3"/>
    <w:rsid w:val="00A17E8B"/>
    <w:rsid w:val="00A31CBF"/>
    <w:rsid w:val="00A425EC"/>
    <w:rsid w:val="00A42BCF"/>
    <w:rsid w:val="00A440A0"/>
    <w:rsid w:val="00A46894"/>
    <w:rsid w:val="00A53576"/>
    <w:rsid w:val="00A5561A"/>
    <w:rsid w:val="00A63D1E"/>
    <w:rsid w:val="00A704BB"/>
    <w:rsid w:val="00A80612"/>
    <w:rsid w:val="00AA19FC"/>
    <w:rsid w:val="00AB4613"/>
    <w:rsid w:val="00AB5758"/>
    <w:rsid w:val="00AE1BDF"/>
    <w:rsid w:val="00AF28A9"/>
    <w:rsid w:val="00AF43DA"/>
    <w:rsid w:val="00B118C0"/>
    <w:rsid w:val="00B120AE"/>
    <w:rsid w:val="00B25572"/>
    <w:rsid w:val="00B3043A"/>
    <w:rsid w:val="00B5147F"/>
    <w:rsid w:val="00B64CAE"/>
    <w:rsid w:val="00B67E49"/>
    <w:rsid w:val="00B75410"/>
    <w:rsid w:val="00B82020"/>
    <w:rsid w:val="00B939FB"/>
    <w:rsid w:val="00BA0739"/>
    <w:rsid w:val="00BA4079"/>
    <w:rsid w:val="00BA7D2B"/>
    <w:rsid w:val="00BB3230"/>
    <w:rsid w:val="00BC4059"/>
    <w:rsid w:val="00BE07B0"/>
    <w:rsid w:val="00BF0219"/>
    <w:rsid w:val="00BF6D76"/>
    <w:rsid w:val="00BF7E92"/>
    <w:rsid w:val="00C26249"/>
    <w:rsid w:val="00C27667"/>
    <w:rsid w:val="00C3371A"/>
    <w:rsid w:val="00C4352B"/>
    <w:rsid w:val="00C4743C"/>
    <w:rsid w:val="00C51A60"/>
    <w:rsid w:val="00C54952"/>
    <w:rsid w:val="00C76BAB"/>
    <w:rsid w:val="00C805B3"/>
    <w:rsid w:val="00C84A0F"/>
    <w:rsid w:val="00CA4CC1"/>
    <w:rsid w:val="00CB22FB"/>
    <w:rsid w:val="00CC3379"/>
    <w:rsid w:val="00CC42EF"/>
    <w:rsid w:val="00CC59B3"/>
    <w:rsid w:val="00D0286D"/>
    <w:rsid w:val="00D0658C"/>
    <w:rsid w:val="00D115DE"/>
    <w:rsid w:val="00D5125D"/>
    <w:rsid w:val="00D515FE"/>
    <w:rsid w:val="00D7046C"/>
    <w:rsid w:val="00D84051"/>
    <w:rsid w:val="00D96067"/>
    <w:rsid w:val="00D973DC"/>
    <w:rsid w:val="00DA3485"/>
    <w:rsid w:val="00DB4F44"/>
    <w:rsid w:val="00DC1839"/>
    <w:rsid w:val="00DC7ABC"/>
    <w:rsid w:val="00DD253A"/>
    <w:rsid w:val="00DD55CF"/>
    <w:rsid w:val="00DE569C"/>
    <w:rsid w:val="00DE7367"/>
    <w:rsid w:val="00DF09E8"/>
    <w:rsid w:val="00E05BA3"/>
    <w:rsid w:val="00E30AC2"/>
    <w:rsid w:val="00E371D4"/>
    <w:rsid w:val="00E37DB8"/>
    <w:rsid w:val="00E42224"/>
    <w:rsid w:val="00E43EDA"/>
    <w:rsid w:val="00E60E5F"/>
    <w:rsid w:val="00E64CE4"/>
    <w:rsid w:val="00E6671A"/>
    <w:rsid w:val="00E67838"/>
    <w:rsid w:val="00E83146"/>
    <w:rsid w:val="00E83AB9"/>
    <w:rsid w:val="00E9144B"/>
    <w:rsid w:val="00EA1E36"/>
    <w:rsid w:val="00EC54E9"/>
    <w:rsid w:val="00EE26C5"/>
    <w:rsid w:val="00F012F3"/>
    <w:rsid w:val="00F01BDA"/>
    <w:rsid w:val="00F05634"/>
    <w:rsid w:val="00F27B3B"/>
    <w:rsid w:val="00F34CA0"/>
    <w:rsid w:val="00F3746C"/>
    <w:rsid w:val="00F545A8"/>
    <w:rsid w:val="00F6180C"/>
    <w:rsid w:val="00F61DD2"/>
    <w:rsid w:val="00F6357F"/>
    <w:rsid w:val="00F653A8"/>
    <w:rsid w:val="00F656E6"/>
    <w:rsid w:val="00F677E1"/>
    <w:rsid w:val="00F93E93"/>
    <w:rsid w:val="00FA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DBD"/>
    <w:rPr>
      <w:rFonts w:ascii="Arial" w:hAnsi="Arial"/>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A050F"/>
    <w:pPr>
      <w:tabs>
        <w:tab w:val="right" w:leader="dot" w:pos="8630"/>
      </w:tabs>
      <w:spacing w:before="240"/>
      <w:ind w:left="418" w:hanging="418"/>
    </w:pPr>
    <w:rPr>
      <w:rFonts w:cs="Arial"/>
      <w:b/>
      <w:bCs/>
      <w:caps/>
      <w:noProof/>
    </w:rPr>
  </w:style>
  <w:style w:type="paragraph" w:styleId="TOC2">
    <w:name w:val="toc 2"/>
    <w:basedOn w:val="Normal"/>
    <w:next w:val="Normal"/>
    <w:autoRedefine/>
    <w:semiHidden/>
    <w:rsid w:val="00CC3379"/>
    <w:pPr>
      <w:tabs>
        <w:tab w:val="left" w:pos="600"/>
        <w:tab w:val="right" w:leader="dot" w:pos="8630"/>
      </w:tabs>
      <w:spacing w:before="240"/>
      <w:ind w:left="1138" w:hanging="720"/>
    </w:pPr>
    <w:rPr>
      <w:bCs/>
      <w:noProof/>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Char">
    <w:name w:val="Heading 3 Char Char"/>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table" w:styleId="TableWeb1">
    <w:name w:val="Table Web 1"/>
    <w:basedOn w:val="TableNormal"/>
    <w:rsid w:val="0086422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semiHidden/>
    <w:rsid w:val="00AB5758"/>
    <w:rPr>
      <w:sz w:val="16"/>
      <w:szCs w:val="16"/>
    </w:rPr>
  </w:style>
  <w:style w:type="paragraph" w:styleId="CommentText">
    <w:name w:val="annotation text"/>
    <w:basedOn w:val="Normal"/>
    <w:semiHidden/>
    <w:rsid w:val="00AB5758"/>
  </w:style>
  <w:style w:type="paragraph" w:styleId="CommentSubject">
    <w:name w:val="annotation subject"/>
    <w:basedOn w:val="CommentText"/>
    <w:next w:val="CommentText"/>
    <w:semiHidden/>
    <w:rsid w:val="00AB5758"/>
    <w:rPr>
      <w:b/>
      <w:bCs/>
    </w:rPr>
  </w:style>
  <w:style w:type="character" w:customStyle="1" w:styleId="HeaderChar">
    <w:name w:val="Header Char"/>
    <w:link w:val="Header"/>
    <w:uiPriority w:val="99"/>
    <w:rsid w:val="00EC54E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525407">
      <w:bodyDiv w:val="1"/>
      <w:marLeft w:val="0"/>
      <w:marRight w:val="0"/>
      <w:marTop w:val="0"/>
      <w:marBottom w:val="0"/>
      <w:divBdr>
        <w:top w:val="none" w:sz="0" w:space="0" w:color="auto"/>
        <w:left w:val="none" w:sz="0" w:space="0" w:color="auto"/>
        <w:bottom w:val="none" w:sz="0" w:space="0" w:color="auto"/>
        <w:right w:val="none" w:sz="0" w:space="0" w:color="auto"/>
      </w:divBdr>
    </w:div>
    <w:div w:id="926038719">
      <w:bodyDiv w:val="1"/>
      <w:marLeft w:val="0"/>
      <w:marRight w:val="0"/>
      <w:marTop w:val="0"/>
      <w:marBottom w:val="0"/>
      <w:divBdr>
        <w:top w:val="none" w:sz="0" w:space="0" w:color="auto"/>
        <w:left w:val="none" w:sz="0" w:space="0" w:color="auto"/>
        <w:bottom w:val="none" w:sz="0" w:space="0" w:color="auto"/>
        <w:right w:val="none" w:sz="0" w:space="0" w:color="auto"/>
      </w:divBdr>
    </w:div>
    <w:div w:id="945234983">
      <w:bodyDiv w:val="1"/>
      <w:marLeft w:val="0"/>
      <w:marRight w:val="0"/>
      <w:marTop w:val="0"/>
      <w:marBottom w:val="0"/>
      <w:divBdr>
        <w:top w:val="none" w:sz="0" w:space="0" w:color="auto"/>
        <w:left w:val="none" w:sz="0" w:space="0" w:color="auto"/>
        <w:bottom w:val="none" w:sz="0" w:space="0" w:color="auto"/>
        <w:right w:val="none" w:sz="0" w:space="0" w:color="auto"/>
      </w:divBdr>
    </w:div>
    <w:div w:id="1018658072">
      <w:bodyDiv w:val="1"/>
      <w:marLeft w:val="0"/>
      <w:marRight w:val="0"/>
      <w:marTop w:val="0"/>
      <w:marBottom w:val="0"/>
      <w:divBdr>
        <w:top w:val="none" w:sz="0" w:space="0" w:color="auto"/>
        <w:left w:val="none" w:sz="0" w:space="0" w:color="auto"/>
        <w:bottom w:val="none" w:sz="0" w:space="0" w:color="auto"/>
        <w:right w:val="none" w:sz="0" w:space="0" w:color="auto"/>
      </w:divBdr>
    </w:div>
    <w:div w:id="1200237658">
      <w:bodyDiv w:val="1"/>
      <w:marLeft w:val="0"/>
      <w:marRight w:val="0"/>
      <w:marTop w:val="0"/>
      <w:marBottom w:val="0"/>
      <w:divBdr>
        <w:top w:val="none" w:sz="0" w:space="0" w:color="auto"/>
        <w:left w:val="none" w:sz="0" w:space="0" w:color="auto"/>
        <w:bottom w:val="none" w:sz="0" w:space="0" w:color="auto"/>
        <w:right w:val="none" w:sz="0" w:space="0" w:color="auto"/>
      </w:divBdr>
    </w:div>
    <w:div w:id="1201361612">
      <w:bodyDiv w:val="1"/>
      <w:marLeft w:val="0"/>
      <w:marRight w:val="0"/>
      <w:marTop w:val="0"/>
      <w:marBottom w:val="0"/>
      <w:divBdr>
        <w:top w:val="none" w:sz="0" w:space="0" w:color="auto"/>
        <w:left w:val="none" w:sz="0" w:space="0" w:color="auto"/>
        <w:bottom w:val="none" w:sz="0" w:space="0" w:color="auto"/>
        <w:right w:val="none" w:sz="0" w:space="0" w:color="auto"/>
      </w:divBdr>
    </w:div>
    <w:div w:id="1923023178">
      <w:bodyDiv w:val="1"/>
      <w:marLeft w:val="0"/>
      <w:marRight w:val="0"/>
      <w:marTop w:val="0"/>
      <w:marBottom w:val="0"/>
      <w:divBdr>
        <w:top w:val="none" w:sz="0" w:space="0" w:color="auto"/>
        <w:left w:val="none" w:sz="0" w:space="0" w:color="auto"/>
        <w:bottom w:val="none" w:sz="0" w:space="0" w:color="auto"/>
        <w:right w:val="none" w:sz="0" w:space="0" w:color="auto"/>
      </w:divBdr>
    </w:div>
    <w:div w:id="204899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r0193626\Application%20Data\Microsoft\Templates\Project%20char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 charter.dot</Template>
  <TotalTime>9</TotalTime>
  <Pages>5</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Furqan Jamal</dc:creator>
  <cp:keywords/>
  <dc:description/>
  <cp:lastModifiedBy>Furqan Jamal</cp:lastModifiedBy>
  <cp:revision>4</cp:revision>
  <cp:lastPrinted>2014-10-06T17:01:00Z</cp:lastPrinted>
  <dcterms:created xsi:type="dcterms:W3CDTF">2014-11-13T23:21:00Z</dcterms:created>
  <dcterms:modified xsi:type="dcterms:W3CDTF">2014-11-13T23:31:00Z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TC011414181033</vt:lpwstr>
  </property>
</Properties>
</file>